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СВОДНЫЙ 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 проектов муниципальных нормативных правовых актов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администрации муниципального образования Усть-Лабинский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Проект постановления администрации муниципального образования Усть-Лабинский район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 xml:space="preserve">«О внесении изменения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>в постановление администрации муниципального образования Усть-Лабинский район  от 31 июля 2025 г. № 922 «Об утверждении  Порядка согласования севооборота в специальных семеноводческих зонах для производства  семян сельскохозяйственных растений   на территории муниципального образования  Усть-Лабинский муниципальный район Краснодарского края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val="en-US" w:eastAsia="en-US"/>
        </w:rPr>
        <w:t xml:space="preserve">” </w:t>
      </w:r>
      <w:r>
        <w:rPr>
          <w:rFonts w:eastAsia="Calibri" w:ascii="Times New Roman" w:hAnsi="Times New Roman"/>
          <w:b w:val="false"/>
          <w:bCs w:val="false"/>
          <w:color w:val="auto"/>
          <w:sz w:val="28"/>
          <w:szCs w:val="28"/>
          <w:lang w:val="en-US" w:eastAsia="en-US"/>
        </w:rPr>
        <w:t>(далее - проект НПА).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2025 г.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Усть-Лабинский муниципальный район Краснодарского края.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севооборота в специальных семеноводческих зонах для производства семян сельскохозяйственных растений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 Усть-Лабинский муниципальный район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FFFFFF" w:val="clear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fill="FFFFFF" w:val="clear"/>
        </w:rPr>
        <w:t>Краткое описание содержания предлагаемого правового регулирования: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 указанной проблемы рассматриваемым проектом предлагается внести </w:t>
      </w:r>
      <w:r>
        <w:rPr>
          <w:rFonts w:ascii="Times New Roman" w:hAnsi="Times New Roman"/>
          <w:sz w:val="28"/>
        </w:rPr>
        <w:t>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район разработан в соответствии с Законом Краснодарского края от 11 марта 2024 г. №5085-КЗ «О  семеноводстве сельскохозяйственных растений в Краснодарском крае», Законом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>
        <w:rPr>
          <w:rStyle w:val="FontStyle49"/>
          <w:sz w:val="28"/>
          <w:szCs w:val="28"/>
        </w:rPr>
        <w:t xml:space="preserve">Усть-Лабинский </w:t>
      </w:r>
      <w:r>
        <w:rPr>
          <w:rFonts w:ascii="Times New Roman" w:hAnsi="Times New Roman"/>
          <w:sz w:val="28"/>
          <w:szCs w:val="28"/>
        </w:rPr>
        <w:t xml:space="preserve">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устанавливает единые требования к условиям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1.6.1. Обоснование степени регулирующего воздействия: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Степень регулирующего воздействия -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Проект НПА содержит положения, устанавливающие новые обязанности для субъектов предпринимательской и иной экономической деятельности.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1.7. Контактная информация исполнителя в регулирующем органе:</w:t>
      </w:r>
    </w:p>
    <w:p>
      <w:pPr>
        <w:pStyle w:val="Normal"/>
        <w:spacing w:before="0" w:after="200"/>
        <w:ind w:firstLine="851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Кравец Ирина Анатольевна, главный специалист управления сельского хозяйства  администрации муниципального образования Усть-Лабинский район. </w:t>
      </w:r>
    </w:p>
    <w:p>
      <w:pPr>
        <w:pStyle w:val="Normal"/>
        <w:spacing w:before="0" w:after="200"/>
        <w:ind w:firstLine="851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Тел.: 5-22-79.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Адрес электронной почты: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ulselhoz</w:t>
      </w:r>
      <w:r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amoulr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</w:p>
    <w:p>
      <w:pPr>
        <w:pStyle w:val="Normal"/>
        <w:spacing w:before="0" w:after="200"/>
        <w:ind w:firstLine="851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 Описание проблемы, на решение которой направлено предлагаемое правовое регулирование: 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2.1. Формулировка проблемы: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</w:rPr>
        <w:t>согласования севооборота, утверждения чередования сельскохозяйственных культур на земельном участке, на котором планируется производство (выращивание) сельскохозяйственных культур,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>
        <w:rPr>
          <w:rStyle w:val="FontStyle49"/>
          <w:sz w:val="28"/>
          <w:szCs w:val="28"/>
        </w:rPr>
        <w:t>Усть-Лабинский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eastAsia="Calibri" w:ascii="Times New Roman" w:hAnsi="Times New Roman"/>
          <w:sz w:val="28"/>
          <w:szCs w:val="28"/>
        </w:rPr>
        <w:t>в связи с отсутствием порядка согласования севооборота.</w:t>
      </w:r>
    </w:p>
    <w:p>
      <w:pPr>
        <w:pStyle w:val="Style30"/>
        <w:tabs>
          <w:tab w:val="clear" w:pos="708"/>
          <w:tab w:val="left" w:pos="709" w:leader="none"/>
          <w:tab w:val="left" w:pos="1027" w:leader="none"/>
        </w:tabs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Наделение органов местного самоуправления полномочиями по согласованию севооборота </w:t>
      </w:r>
      <w:r>
        <w:rPr>
          <w:rFonts w:ascii="Times New Roman" w:hAnsi="Times New Roman"/>
          <w:sz w:val="28"/>
        </w:rPr>
        <w:t>в специальных семеноводческих зонах</w:t>
      </w:r>
      <w:r>
        <w:rPr>
          <w:rFonts w:eastAsia="Calibri" w:ascii="Times New Roman" w:hAnsi="Times New Roman"/>
          <w:sz w:val="28"/>
          <w:szCs w:val="28"/>
        </w:rPr>
        <w:t xml:space="preserve"> Закон Краснодарского края № 4024-КЗ, направлении методических рекомендаций Министерством сельского хозяйства и перерабатывающей промышленности Краснодарского края от  4 апреля 2025 года № 206-01-05-3899/25.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2.3. Субъекты общественных отношений, заинтересованные в устранении проблемы, их количественная оценка: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</w:rPr>
        <w:t>физические лица, или индивидуальные предприниматели, или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  <w:noBreakHyphen/>
        <w:t>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 184</w:t>
        <w:noBreakHyphen/>
        <w:t>ФЗ «О техническом регулировании» и постановлением Правительства Российской Федерации  от 23 января 2004 г. № 32 «О 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 на территории муниципального образования  Усть-Лабинский район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Согласно информации, представленной в реестре семеноводческих хозяйств, размещенном на официальном сайте Россельхозцентра </w:t>
      </w:r>
      <w:r>
        <w:rPr>
          <w:rFonts w:eastAsia="Calibri" w:ascii="Times New Roman" w:hAnsi="Times New Roman"/>
          <w:sz w:val="28"/>
          <w:szCs w:val="28"/>
          <w:shd w:fill="FFFFFF" w:val="clear"/>
          <w:lang w:val="en-US" w:eastAsia="en-US"/>
        </w:rPr>
        <w:t>rosselhoscenter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.</w:t>
      </w:r>
      <w:r>
        <w:rPr>
          <w:rFonts w:eastAsia="Calibri" w:ascii="Times New Roman" w:hAnsi="Times New Roman"/>
          <w:sz w:val="28"/>
          <w:szCs w:val="28"/>
          <w:shd w:fill="FFFFFF" w:val="clear"/>
          <w:lang w:val="en-US" w:eastAsia="en-US"/>
        </w:rPr>
        <w:t>ru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 количество сертифицированных в Системе добровольной сертификации «Россельхозцентр» по состоянию на 1 </w:t>
      </w:r>
      <w:r>
        <w:rPr>
          <w:rFonts w:eastAsia="Calibri" w:ascii="Times New Roman" w:hAnsi="Times New Roman"/>
          <w:sz w:val="28"/>
          <w:szCs w:val="28"/>
          <w:shd w:fill="FFFFFF" w:val="clear"/>
          <w:lang w:val="en-US"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shd w:fill="FFFFFF" w:val="clear"/>
          <w:lang w:val="ru-RU" w:eastAsia="en-US"/>
        </w:rPr>
        <w:t xml:space="preserve">августа 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2025 г. семеноводческих хозяйств в Усть-Лабинском районе составляет 1 субъект.  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2.4. Характеристика негативных эффектов, возникающих в связи с наличием проблемы, их количественная оценка: отсутствует.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2.5. Причины возникновения проблемы и факторы, поддерживающие ее существование: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Наделение органов местного самоуправления полномочиями по согласованию севооборота </w:t>
      </w:r>
      <w:r>
        <w:rPr>
          <w:rFonts w:ascii="Times New Roman" w:hAnsi="Times New Roman"/>
          <w:sz w:val="28"/>
        </w:rPr>
        <w:t>в специальных семеноводческих зонах</w:t>
      </w:r>
      <w:r>
        <w:rPr>
          <w:rFonts w:eastAsia="Calibri" w:ascii="Times New Roman" w:hAnsi="Times New Roman"/>
          <w:sz w:val="28"/>
          <w:szCs w:val="28"/>
        </w:rPr>
        <w:t xml:space="preserve"> Закон Краснодарского края № 4024-КЗ, направлении методических рекомендаций Министерством сельского хозяйства и перерабатывающей промышленности Краснодарского края от  4 апреля 2025 года № 206-01-05-3899/25.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. </w:t>
      </w:r>
    </w:p>
    <w:p>
      <w:pPr>
        <w:pStyle w:val="ConsPlusNonformat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2.8. Источники данных: Информационно -  правовая система «КонсультантПлюс», </w:t>
      </w:r>
      <w:r>
        <w:rPr>
          <w:rFonts w:eastAsia="Calibri" w:cs="Times New Roman" w:ascii="Times New Roman" w:hAnsi="Times New Roman"/>
          <w:sz w:val="28"/>
          <w:szCs w:val="28"/>
        </w:rPr>
        <w:t>методические рекомендации Министерства сельского хозяйства и перерабатывающей промышленности Краснодарского края  от  4 апреля 2025 года № 206-01-05-3899/25.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2.9. Иная информация о проблеме: отсутствует иная информация о  проблеме.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3. Определение целей предлагаемого правового регулирования и индикаторов для оценки их достижения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581" w:type="dxa"/>
        <w:jc w:val="left"/>
        <w:tblInd w:w="12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3.1. Цели предлагаемого правового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white"/>
              </w:rPr>
            </w:pPr>
            <w:bookmarkStart w:id="0" w:name="Par270"/>
            <w:bookmarkEnd w:id="0"/>
            <w:r>
              <w:rPr>
                <w:rFonts w:ascii="Times New Roman" w:hAnsi="Times New Roman"/>
                <w:shd w:fill="FFFFFF" w:val="clear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район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С даты официального опубликования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 мониторинге достижения цели не нуждается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4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 Краснодарского края от 11 марта 2024 г. №5085-КЗ                                      «О  семеноводстве сельскохозяйственных растений в Краснодарском крае»; </w:t>
      </w:r>
    </w:p>
    <w:p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приказ министерства сельского хозяйства и перерабатывающей промышленности Краснодарского края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главы администрации (губернатора) </w:t>
      </w:r>
      <w:r>
        <w:rPr>
          <w:rFonts w:ascii="Times New Roman" w:hAnsi="Times New Roman"/>
          <w:sz w:val="28"/>
        </w:rPr>
        <w:t>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9582" w:type="dxa"/>
        <w:jc w:val="left"/>
        <w:tblInd w:w="12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7"/>
        <w:gridCol w:w="2838"/>
        <w:gridCol w:w="1841"/>
        <w:gridCol w:w="1785"/>
      </w:tblGrid>
      <w:tr>
        <w:trPr>
          <w:trHeight w:val="1305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3.5. Цели предлагаемого правового регулирования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white"/>
              </w:rPr>
            </w:pPr>
            <w:bookmarkStart w:id="1" w:name="Par290"/>
            <w:bookmarkEnd w:id="1"/>
            <w:r>
              <w:rPr>
                <w:rFonts w:ascii="Times New Roman" w:hAnsi="Times New Roman"/>
                <w:shd w:fill="FFFFFF" w:val="clear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white"/>
              </w:rPr>
            </w:pPr>
            <w:bookmarkStart w:id="2" w:name="Par292"/>
            <w:bookmarkEnd w:id="2"/>
            <w:r>
              <w:rPr>
                <w:rFonts w:ascii="Times New Roman" w:hAnsi="Times New Roman"/>
                <w:shd w:fill="FFFFFF" w:val="clear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 район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о согласовании севооборота либо об отказе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предусмотрены</w:t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3.9. Методы расчета индикаторов достижения целей предлагаемого правового регулирования, источники информации для расчетов: принятие проекта НПА.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71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03"/>
        <w:gridCol w:w="2970"/>
        <w:gridCol w:w="2098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4.1. Группы потенциальных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адресатов предлагаемого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правового регулирования (краткое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описание их качественных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4.2. Количество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4.3. Источники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данных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лица, или индивидуальные предприниматели, или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white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eastAsia="en-US"/>
              </w:rPr>
              <w:t xml:space="preserve">Официальный сайт Россельхозцентра </w:t>
            </w: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val="en-US" w:eastAsia="en-US"/>
              </w:rPr>
              <w:t>rosselhoscenter</w:t>
            </w: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eastAsia="en-US"/>
              </w:rPr>
              <w:t>.</w:t>
            </w: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val="en-US" w:eastAsia="en-US"/>
              </w:rPr>
              <w:t>ru</w:t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  <w:shd w:fill="FFFFFF" w:val="clear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74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58"/>
        <w:gridCol w:w="1742"/>
        <w:gridCol w:w="1942"/>
        <w:gridCol w:w="1844"/>
        <w:gridCol w:w="1561"/>
      </w:tblGrid>
      <w:tr>
        <w:trPr>
          <w:trHeight w:val="2085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5.1. 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функции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(полномочия,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обязанности или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права)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5.2.Характер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функции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(новая 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изменяемая 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отменяемая)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5.3.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Предполагаемый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порядок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реализации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5.4. 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трудовых затрат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(чел./час в год),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численности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сотрудников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(чел.)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5.5. 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потребностей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 других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ресурсах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 район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Новая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согласно действующему законодательству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6. Оценка дополнительных расходов (доходов) районного бюджета (бюджета муниципального образования Усть-Лабинский  район), связанных с введением предлагаемого правового регулирования: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tbl>
      <w:tblPr>
        <w:tblW w:w="9889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580"/>
        <w:gridCol w:w="3119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6.1. Наименование функции (полномочия, обязанности или права) (в соответствии 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6.2. Виды расходов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(возможных поступлений)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6.3.Количественная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оценка расходов 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возможных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поступлений,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млн. рублей</w:t>
            </w:r>
          </w:p>
        </w:tc>
      </w:tr>
      <w:tr>
        <w:trPr>
          <w:trHeight w:val="1440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 район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отсутствуют.</w:t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6.5. Источники данных: отсутствуют.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746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38"/>
        <w:gridCol w:w="4394"/>
        <w:gridCol w:w="2096"/>
        <w:gridCol w:w="1417"/>
      </w:tblGrid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7.1. Группы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потенциальных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адресатов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предлагаемого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правового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регулирования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(в соответствии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с п. 4.1 сводного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отчета)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7.2. Новые обязательные требования, обязанности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ограничения, 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существующих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обязанностей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ограничений, вводимые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предлагаемым правовым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регулированием (с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указанием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соответствующих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положений проекта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муниципального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нормативного правового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акта)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7.3. Описание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расходов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возможных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доходов,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связанных 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предлагаемого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правового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регулирования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7.4.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Количественная оценка,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hd w:fill="FFFFFF" w:val="clear"/>
              </w:rPr>
              <w:t>рублей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841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лица, или индивидуальные предприниматели, или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      </w:r>
            <w:r>
              <w:rPr>
                <w:rFonts w:eastAsia="Calibri" w:ascii="Times New Roman" w:hAnsi="Times New Roman"/>
                <w:sz w:val="24"/>
                <w:szCs w:val="24"/>
                <w:shd w:fill="FFFFFF" w:val="clear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должны на дату подачи заявления быть включенными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</w:t>
              <w:noBreakHyphen/>
              <w:t>ФЗ «О техническом регулировании» и постановлением Правительства Российской Федерации от 23 января 2004 г. № 32 «О регистрации и размере платы за регистрацию системы добровольной сертификации»;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осуществлять производство (выращивание) и реализацию семенного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</w:t>
              <w:noBreakHyphen/>
              <w:t xml:space="preserve">биологическими свойствами, в году, предшествующем календарном году и (или) в текущем календарном году.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4" w:hanging="0"/>
              <w:jc w:val="both"/>
              <w:rPr>
                <w:rFonts w:ascii="Times New Roman" w:hAnsi="Times New Roman"/>
                <w:highlight w:val="white"/>
                <w:lang w:eastAsia="en-US"/>
              </w:rPr>
            </w:pPr>
            <w:r>
              <w:rPr>
                <w:rFonts w:ascii="Times New Roman" w:hAnsi="Times New Roman"/>
              </w:rPr>
              <w:t>3) 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 на земельном участке, на котором планируется согласование севооборота для производства (выращивания) семян сельскохозяйственных растений</w:t>
            </w:r>
            <w:r>
              <w:rPr>
                <w:rFonts w:ascii="Times New Roman" w:hAnsi="Times New Roman"/>
                <w:shd w:fill="FFFFFF" w:val="clear"/>
                <w:lang w:eastAsia="en-US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расходы на подачу документов на согласование 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расходы на проведение сертификации в Системе добровольной сертификации «Россельхозцентр»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744 руб. в расчете на 1 заявителя 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2 103,35 руб. в расчете на 1 заявителя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Расчет информационных издержек произведен с использованием калькулятора расчета стандартных издержек (regulation.gov.ru):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тип требования: представление документов;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тип элемента: документы, подготовленные для передачи органам власти;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раздел требования: информационное;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частота предоставления: 1 ед.;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действие: - 2 чел./час;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среднемесячная заработная плата на одного работника по </w:t>
        <w:br/>
        <w:t>Усть-Лабинскому району – 62 283 руб.;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средняя стоимость часа работы: 372 руб.;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общая стоимость требования: 744 руб. (372 руб.* (2 чел./час).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расходов на проведение сертификации в Системе добровольной сертификации «Россельхозцентр»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napToGrid w:val="false"/>
        <w:ind w:firstLine="709"/>
        <w:jc w:val="both"/>
        <w:rPr/>
      </w:pPr>
      <w:r>
        <w:rPr>
          <w:color w:val="000000"/>
          <w:szCs w:val="28"/>
        </w:rPr>
        <w:t>Согласно расчетам, приведенным на официальном сайте Системы добровольной сертификации «Россельхозцентр» rosselhoscenter.ru/sistema-dobrovolnoy-sertifikatsii-rosselkhoztsentr/normativnye-dokumenty/metodika-raschyeta-stoimosti-uslug-po-sertifikatsii-v-sisteme-dobrovolnoy-sertifikatsii-rosselkhozts/.</w:t>
      </w:r>
    </w:p>
    <w:p>
      <w:pPr>
        <w:pStyle w:val="Normal"/>
        <w:ind w:firstLine="709"/>
        <w:jc w:val="center"/>
        <w:rPr/>
      </w:pPr>
      <w:r>
        <w:rPr>
          <w:b/>
          <w:szCs w:val="28"/>
        </w:rPr>
        <w:t>Расчет стоимости услуги по сертификации, не связанной непосредственно с проведением</w:t>
      </w:r>
      <w:r>
        <w:rPr>
          <w:b/>
          <w:color w:val="000000"/>
          <w:szCs w:val="28"/>
        </w:rPr>
        <w:t xml:space="preserve"> лабораторных и полевых исследований, </w:t>
        <w:br/>
        <w:t>в расчете на 1 заявителя (при отсутствии у заявителя сертификации)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781" w:type="dxa"/>
        <w:jc w:val="left"/>
        <w:tblInd w:w="-279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710"/>
        <w:gridCol w:w="4248"/>
        <w:gridCol w:w="4823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8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Наименание работ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41" w:leader="none"/>
              </w:tabs>
              <w:spacing w:before="0" w:after="0"/>
              <w:ind w:right="13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 трудоёмкости работ о сертификации услуг, чел-дни</w:t>
            </w:r>
          </w:p>
        </w:tc>
      </w:tr>
      <w:tr>
        <w:trPr>
          <w:trHeight w:val="95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по заявке на сертификацию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входной контроль и регистрация заявления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документации, приложенной  к заявке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схемы и программы сертификации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решения по заявке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результатов, принятие решения о выписке сертификата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по данным сайта Россельхозцентра, Методика расчета стоимости услуг по сертификации в Системе добровольной сертификации «Россельхозцентр» разработана на основе правил по сертификации «Оплата работ по сертификации продукции и услуг», утвержденных постановлением Государственного комитета Российской Федерации по стандартизации и метрологии от 23 августа 1999 г. № 44 (далее – Методика).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указанной Методике при положительном результате работ по сертификации плата за выдачу сертификата соответствия является фиксированной и устанавливается в размере одной минимальной месячной заработной платы.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одна минимальная месячная заработная плата (далее – МРОТ) определяется в соответствии с Федеральным законом от 19 июня 2000 г. № 82-ФЗ «О минимальном размере оплаты труда» и для расчета применяется МРОТ, равный 100 руб.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</w:t>
      </w:r>
      <w:r>
        <w:rPr>
          <w:rFonts w:ascii="Times New Roman" w:hAnsi="Times New Roman"/>
          <w:b/>
          <w:color w:val="000000"/>
          <w:sz w:val="24"/>
          <w:szCs w:val="24"/>
        </w:rPr>
        <w:t>стоимость услуг по сертификации в расчете на 1 заявителя составляет 2 103,35 руб.</w:t>
      </w:r>
    </w:p>
    <w:p>
      <w:pPr>
        <w:pStyle w:val="Normal"/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Расчет предельной стоимости по сертификации</w:t>
        <w:br/>
        <w:t>в расчете на 1 заявителя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Сос = t х Т х (1 + (Кнз + Кнр ) / 100) х (1 + Р/100), где: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Сос – стоимость услуги по сертификации, руб.;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t – трудоёмкость услуг по сертификации, чел-дни;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Т – дневная ставка специалиста (главный агроном) 14 077,49 / 20,58 = 684,03 руб.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Кнз – норматив начислений на заработную плату, установленный действующим законодательством, – 31,2%;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Кнр – коэффициент накладных расходов, – 25%;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Р – уровень рентабельности, – 25%.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Сос = 1,5 х 684,03 х (1 + (31,2 + 25) / 100) х (1+ 25/100) = 2 003,35 руб.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  <w:szCs w:val="28"/>
              </w:rPr>
              <w:t>Итого: 2 003,35 + 100 (плата за выдачу сертификата) = 2 103,35 руб.</w:t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Отсутствуют.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7.6. Источники данных: отсутствуют.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8. Оценка рисков неблагоприятных последствий применения предлагаемого правового регулирования: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571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92"/>
        <w:gridCol w:w="2394"/>
        <w:gridCol w:w="2397"/>
        <w:gridCol w:w="2387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8.1. Виды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рисков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8.2. Оценка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вероятности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наступления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неблагоприятных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последствий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8.3. Методы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контроля рисков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8.4. Степень контроля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рисков (полный /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частичный /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отсутствует</w:t>
            </w:r>
          </w:p>
        </w:tc>
      </w:tr>
    </w:tbl>
    <w:p>
      <w:pPr>
        <w:pStyle w:val="Normal"/>
        <w:spacing w:lineRule="auto" w:line="240" w:before="0" w:after="0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8.5. Источники данных: отсутствуют.</w:t>
      </w:r>
    </w:p>
    <w:p>
      <w:pPr>
        <w:pStyle w:val="Normal"/>
        <w:spacing w:lineRule="auto" w:line="240" w:before="0" w:after="0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9. Сравнение возможных вариантов решения проблемы:</w:t>
      </w:r>
    </w:p>
    <w:tbl>
      <w:tblPr>
        <w:tblW w:w="9696" w:type="dxa"/>
        <w:jc w:val="left"/>
        <w:tblInd w:w="62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877"/>
        <w:gridCol w:w="2126"/>
        <w:gridCol w:w="2693"/>
      </w:tblGrid>
      <w:tr>
        <w:trPr/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Вариант 2</w:t>
            </w:r>
          </w:p>
        </w:tc>
      </w:tr>
      <w:tr>
        <w:trPr>
          <w:trHeight w:val="1080" w:hRule="atLeast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>9.1 Содержание варианта решения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проблемы: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 Порядка согласования севооборота в специальных семеноводческих зонах для производства  семян сельскохозяйственных растений   на территории муниципального образования  Усть-Лабинский муниципальный район Краснодарского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</w:tr>
      <w:tr>
        <w:trPr/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744 руб.</w:t>
            </w:r>
          </w:p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2103,35 руб.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нет</w:t>
            </w:r>
          </w:p>
        </w:tc>
      </w:tr>
      <w:tr>
        <w:trPr/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9.4.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</w:tr>
      <w:tr>
        <w:trPr/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Цель не будет достигнута</w:t>
            </w:r>
          </w:p>
        </w:tc>
      </w:tr>
      <w:tr>
        <w:trPr/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9.8. Детальное описание предлагаемого варианта решения проблемы: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содержит утверждение </w:t>
      </w:r>
      <w:r>
        <w:rPr>
          <w:rFonts w:ascii="Times New Roman" w:hAnsi="Times New Roman"/>
          <w:sz w:val="28"/>
        </w:rPr>
        <w:t>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Усть-Лабинский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отсутствует.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10.1. Предполагаемая дата вступления в силу муниципального нормативного правового акта: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сент</w:t>
      </w:r>
      <w:r>
        <w:rPr>
          <w:rFonts w:ascii="Times New Roman" w:hAnsi="Times New Roman"/>
          <w:sz w:val="28"/>
          <w:szCs w:val="28"/>
          <w:shd w:fill="FFFFFF" w:val="clear"/>
        </w:rPr>
        <w:t>ябрь 2025 г.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10.3. Необходимость распространения предлагаемого правового регулирования на ранее возникшие отношения: нет.</w:t>
      </w:r>
    </w:p>
    <w:p>
      <w:pPr>
        <w:pStyle w:val="Normal"/>
        <w:spacing w:lineRule="auto" w:line="240" w:before="0" w:after="0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10.3.1. Период распространения на ранее возникшие отношения: нет.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Normal"/>
        <w:spacing w:lineRule="auto" w:line="240" w:before="0" w:after="0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Усть-Лабинский район,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сельского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администрации муниципального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Усть-Лабинский район                                                А.В. Зюзин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425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0499199"/>
    </w:sdtPr>
    <w:sdtContent>
      <w:p>
        <w:pPr>
          <w:pStyle w:val="Style2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9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3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ae4600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3d750c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d133a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3d133a"/>
    <w:rPr/>
  </w:style>
  <w:style w:type="character" w:styleId="Style14" w:customStyle="1">
    <w:name w:val="Текст выноски Знак"/>
    <w:link w:val="a8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link w:val="2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styleId="Style15" w:customStyle="1">
    <w:name w:val="Интернет-ссылка"/>
    <w:uiPriority w:val="99"/>
    <w:unhideWhenUsed/>
    <w:qFormat/>
    <w:rsid w:val="003d750c"/>
    <w:rPr>
      <w:color w:val="0000FF"/>
      <w:u w:val="single"/>
    </w:rPr>
  </w:style>
  <w:style w:type="character" w:styleId="11" w:customStyle="1">
    <w:name w:val="Заголовок 1 Знак"/>
    <w:link w:val="1"/>
    <w:uiPriority w:val="99"/>
    <w:qFormat/>
    <w:rsid w:val="00ae460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6" w:customStyle="1">
    <w:name w:val="Цветовое выделение"/>
    <w:uiPriority w:val="99"/>
    <w:qFormat/>
    <w:rsid w:val="002a6f9a"/>
    <w:rPr>
      <w:b/>
      <w:bCs w:val="false"/>
      <w:color w:val="000000"/>
    </w:rPr>
  </w:style>
  <w:style w:type="character" w:styleId="Strong">
    <w:name w:val="Strong"/>
    <w:basedOn w:val="DefaultParagraphFont"/>
    <w:uiPriority w:val="22"/>
    <w:qFormat/>
    <w:rsid w:val="00522432"/>
    <w:rPr>
      <w:b/>
      <w:bCs/>
    </w:rPr>
  </w:style>
  <w:style w:type="character" w:styleId="InternetLink1" w:customStyle="1">
    <w:name w:val="Internet Link1"/>
    <w:basedOn w:val="DefaultParagraphFont"/>
    <w:uiPriority w:val="99"/>
    <w:unhideWhenUsed/>
    <w:qFormat/>
    <w:rsid w:val="00522432"/>
    <w:rPr>
      <w:color w:val="0563C1" w:themeColor="hyperlink"/>
      <w:u w:val="single"/>
    </w:rPr>
  </w:style>
  <w:style w:type="character" w:styleId="Style17" w:customStyle="1">
    <w:name w:val="Без интервала Знак"/>
    <w:link w:val="ac"/>
    <w:qFormat/>
    <w:rsid w:val="00b95ec2"/>
    <w:rPr>
      <w:sz w:val="22"/>
      <w:szCs w:val="22"/>
    </w:rPr>
  </w:style>
  <w:style w:type="character" w:styleId="InternetLink2" w:customStyle="1">
    <w:name w:val="Internet Link2"/>
    <w:qFormat/>
    <w:rsid w:val="00024229"/>
    <w:rPr>
      <w:color w:val="000080"/>
      <w:u w:val="single"/>
    </w:rPr>
  </w:style>
  <w:style w:type="character" w:styleId="InternetLink3" w:customStyle="1">
    <w:name w:val="Internet Link3"/>
    <w:qFormat/>
    <w:rsid w:val="00024229"/>
    <w:rPr>
      <w:color w:val="000080"/>
      <w:u w:val="single"/>
    </w:rPr>
  </w:style>
  <w:style w:type="character" w:styleId="InternetLink4" w:customStyle="1">
    <w:name w:val="Internet Link4"/>
    <w:qFormat/>
    <w:rsid w:val="00024229"/>
    <w:rPr>
      <w:color w:val="000080"/>
      <w:u w:val="single"/>
    </w:rPr>
  </w:style>
  <w:style w:type="character" w:styleId="FontStyle49" w:customStyle="1">
    <w:name w:val="Font Style49"/>
    <w:basedOn w:val="DefaultParagraphFont"/>
    <w:uiPriority w:val="99"/>
    <w:qFormat/>
    <w:rsid w:val="00b459e3"/>
    <w:rPr>
      <w:rFonts w:ascii="Times New Roman" w:hAnsi="Times New Roman" w:cs="Times New Roman"/>
      <w:sz w:val="24"/>
      <w:szCs w:val="24"/>
    </w:rPr>
  </w:style>
  <w:style w:type="paragraph" w:styleId="Style18" w:customStyle="1">
    <w:name w:val="Заголовок"/>
    <w:basedOn w:val="Normal"/>
    <w:next w:val="Style19"/>
    <w:qFormat/>
    <w:rsid w:val="00024229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1e74e5"/>
    <w:pPr>
      <w:spacing w:before="0" w:after="140"/>
    </w:pPr>
    <w:rPr/>
  </w:style>
  <w:style w:type="paragraph" w:styleId="Style20">
    <w:name w:val="List"/>
    <w:basedOn w:val="Style19"/>
    <w:rsid w:val="001e74e5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1e74e5"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next w:val="Style19"/>
    <w:qFormat/>
    <w:rsid w:val="001e74e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NoSpacing">
    <w:name w:val="No Spacing"/>
    <w:link w:val="ab"/>
    <w:qFormat/>
    <w:rsid w:val="003746e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084a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f186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f186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val="ru-RU" w:eastAsia="ru-RU" w:bidi="ar-SA"/>
    </w:rPr>
  </w:style>
  <w:style w:type="paragraph" w:styleId="Style23" w:customStyle="1">
    <w:name w:val="Колонтитул"/>
    <w:basedOn w:val="Normal"/>
    <w:qFormat/>
    <w:rsid w:val="001e74e5"/>
    <w:pPr/>
    <w:rPr/>
  </w:style>
  <w:style w:type="paragraph" w:styleId="Style24" w:customStyle="1">
    <w:name w:val="Верхний и нижний колонтитулы"/>
    <w:basedOn w:val="Normal"/>
    <w:qFormat/>
    <w:rsid w:val="00024229"/>
    <w:pPr/>
    <w:rPr/>
  </w:style>
  <w:style w:type="paragraph" w:styleId="Style25">
    <w:name w:val="Header"/>
    <w:basedOn w:val="Normal"/>
    <w:link w:val="a3"/>
    <w:uiPriority w:val="99"/>
    <w:unhideWhenUsed/>
    <w:rsid w:val="003d13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5"/>
    <w:uiPriority w:val="99"/>
    <w:unhideWhenUsed/>
    <w:rsid w:val="003d13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5734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27" w:customStyle="1">
    <w:name w:val="Знак Знак Знак Знак Знак Знак"/>
    <w:basedOn w:val="Normal"/>
    <w:qFormat/>
    <w:rsid w:val="00551e03"/>
    <w:pPr>
      <w:spacing w:lineRule="auto" w:line="240"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8" w:customStyle="1">
    <w:name w:val="Содержимое таблицы"/>
    <w:basedOn w:val="Normal"/>
    <w:qFormat/>
    <w:rsid w:val="001e74e5"/>
    <w:pPr>
      <w:widowControl w:val="false"/>
      <w:suppressLineNumbers/>
    </w:pPr>
    <w:rPr/>
  </w:style>
  <w:style w:type="paragraph" w:styleId="Style29" w:customStyle="1">
    <w:name w:val="Таблицы (моноширинный)"/>
    <w:basedOn w:val="Normal"/>
    <w:next w:val="Normal"/>
    <w:uiPriority w:val="99"/>
    <w:qFormat/>
    <w:rsid w:val="002a6f9a"/>
    <w:pPr>
      <w:widowControl w:val="false"/>
      <w:suppressAutoHyphens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</w:rPr>
  </w:style>
  <w:style w:type="paragraph" w:styleId="Style30" w:customStyle="1">
    <w:name w:val="Нормальный (таблица)"/>
    <w:basedOn w:val="Normal"/>
    <w:next w:val="Normal"/>
    <w:uiPriority w:val="99"/>
    <w:qFormat/>
    <w:rsid w:val="00e415a0"/>
    <w:pPr>
      <w:widowControl w:val="false"/>
      <w:suppressAutoHyphens w:val="false"/>
      <w:spacing w:lineRule="auto" w:line="240" w:before="0" w:after="0"/>
      <w:jc w:val="both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851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5527a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PlainText">
    <w:name w:val="Plain Text"/>
    <w:basedOn w:val="Normal"/>
    <w:qFormat/>
    <w:rsid w:val="00024229"/>
    <w:pPr/>
    <w:rPr>
      <w:rFonts w:ascii="Courier New" w:hAnsi="Courier New" w:cs="Courier New"/>
      <w:sz w:val="20"/>
      <w:szCs w:val="20"/>
    </w:rPr>
  </w:style>
  <w:style w:type="paragraph" w:styleId="Style31" w:customStyle="1">
    <w:name w:val="Заголовок таблицы"/>
    <w:basedOn w:val="Style28"/>
    <w:qFormat/>
    <w:rsid w:val="00024229"/>
    <w:pPr>
      <w:jc w:val="center"/>
    </w:pPr>
    <w:rPr>
      <w:b/>
      <w:bCs/>
    </w:rPr>
  </w:style>
  <w:style w:type="paragraph" w:styleId="Style32" w:customStyle="1">
    <w:name w:val="Прижатый влево"/>
    <w:basedOn w:val="Normal"/>
    <w:next w:val="Normal"/>
    <w:uiPriority w:val="99"/>
    <w:qFormat/>
    <w:rsid w:val="00cc3e16"/>
    <w:pPr>
      <w:widowControl w:val="false"/>
      <w:suppressAutoHyphens w:val="false"/>
      <w:spacing w:lineRule="auto" w:line="240" w:before="0" w:after="0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yle33" w:customStyle="1">
    <w:name w:val="Без списка"/>
    <w:uiPriority w:val="99"/>
    <w:semiHidden/>
    <w:unhideWhenUsed/>
    <w:qFormat/>
    <w:rsid w:val="0002422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65f0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29F3-429F-4B37-8290-E52FE6C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LibreOffice/6.4.0.3$Windows_X86_64 LibreOffice_project/b0a288ab3d2d4774cb44b62f04d5d28733ac6df8</Application>
  <Pages>11</Pages>
  <Words>2524</Words>
  <Characters>20120</Characters>
  <CharactersWithSpaces>22528</CharactersWithSpaces>
  <Paragraphs>281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2025-07-07T05:31:00Z</dcterms:created>
  <dc:creator>х</dc:creator>
  <dc:description/>
  <dc:language>ru-RU</dc:language>
  <cp:lastModifiedBy/>
  <cp:lastPrinted>2025-08-11T10:43:11Z</cp:lastPrinted>
  <dcterms:modified xsi:type="dcterms:W3CDTF">2025-08-11T14:41:25Z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