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97B" w:rsidRDefault="000077C0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СВОДНЫЙ ОТЧЕТ</w:t>
      </w:r>
    </w:p>
    <w:p w:rsidR="008F197B" w:rsidRDefault="000077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результатах проведения оценки регулирующего воздействия проектов муниципальных нормативных правовых актов</w:t>
      </w:r>
    </w:p>
    <w:p w:rsidR="008F197B" w:rsidRDefault="008F197B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F197B" w:rsidRDefault="000077C0">
      <w:pPr>
        <w:pStyle w:val="af7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информация</w:t>
      </w:r>
    </w:p>
    <w:p w:rsidR="008F197B" w:rsidRDefault="000077C0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Регулирующий орган:</w:t>
      </w:r>
    </w:p>
    <w:p w:rsidR="008F197B" w:rsidRDefault="000077C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 по вопросам ЖКХ, транспорта, энергообеспечения и связи администрации муниципального </w:t>
      </w:r>
      <w:r>
        <w:rPr>
          <w:rFonts w:ascii="Times New Roman" w:hAnsi="Times New Roman"/>
          <w:sz w:val="28"/>
          <w:szCs w:val="28"/>
        </w:rPr>
        <w:t>образования Усть-Лабинский район</w:t>
      </w:r>
    </w:p>
    <w:p w:rsidR="008F197B" w:rsidRDefault="000077C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Вид и наименование проекта муниципального нормативного правового акта:</w:t>
      </w:r>
    </w:p>
    <w:p w:rsidR="008F197B" w:rsidRDefault="000077C0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решения Совета муниципального образования Усть-Лабинский район «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О внесении изменений в решение Совета муниципального образования Усть-Лабинс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кий район от 9декабря 2021 г. № 8 протокол №20 «Об утверждении Положения по осуществлению муниципального жилищного контроля на территории муниципального образования Усть-Лабинский район» </w:t>
      </w:r>
      <w:r>
        <w:rPr>
          <w:rFonts w:ascii="Times New Roman" w:hAnsi="Times New Roman"/>
          <w:sz w:val="28"/>
          <w:szCs w:val="28"/>
        </w:rPr>
        <w:t>(далее – НПА)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8F197B" w:rsidRDefault="000077C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 Предполагаемая дата вступления в силу муниципальн</w:t>
      </w:r>
      <w:r>
        <w:rPr>
          <w:rFonts w:ascii="Times New Roman" w:hAnsi="Times New Roman"/>
          <w:sz w:val="28"/>
          <w:szCs w:val="28"/>
        </w:rPr>
        <w:t>ого нормативного правового акта:</w:t>
      </w:r>
    </w:p>
    <w:p w:rsidR="008F197B" w:rsidRDefault="000077C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сентябрь</w:t>
      </w:r>
      <w:r>
        <w:rPr>
          <w:rFonts w:ascii="Times New Roman" w:hAnsi="Times New Roman"/>
          <w:sz w:val="28"/>
          <w:szCs w:val="28"/>
        </w:rPr>
        <w:t xml:space="preserve"> 2025 г. </w:t>
      </w:r>
    </w:p>
    <w:p w:rsidR="008F197B" w:rsidRDefault="000077C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 Краткое описание проблемы, на решение которой направлено предлагаемое правовое регулирование:</w:t>
      </w:r>
    </w:p>
    <w:p w:rsidR="008F197B" w:rsidRDefault="000077C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Несоответствие НПА Федеральному закону  от 31.07.2020 № 248-ФЗ «О государственном контроле (надзоре) и мун</w:t>
      </w:r>
      <w:r>
        <w:rPr>
          <w:rFonts w:ascii="Times New Roman" w:hAnsi="Times New Roman"/>
          <w:sz w:val="28"/>
          <w:szCs w:val="28"/>
        </w:rPr>
        <w:t>иципальном контроле в Российской Федерации»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8F197B" w:rsidRDefault="000077C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Краткое описание целей предлагаемого правового регулирования:</w:t>
      </w:r>
    </w:p>
    <w:p w:rsidR="008F197B" w:rsidRDefault="000077C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предлагаемого правового регулирования –</w:t>
      </w:r>
    </w:p>
    <w:p w:rsidR="008F197B" w:rsidRDefault="000077C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Приведение НПА в соответствие </w:t>
      </w:r>
      <w:bookmarkStart w:id="0" w:name="_Hlk157522599"/>
      <w:r>
        <w:rPr>
          <w:rFonts w:ascii="Times New Roman" w:hAnsi="Times New Roman"/>
          <w:sz w:val="28"/>
          <w:szCs w:val="28"/>
        </w:rPr>
        <w:t>с Федеральным законом  от 31.07.2020 № 248-ФЗ «О государственном конт</w:t>
      </w:r>
      <w:r>
        <w:rPr>
          <w:rFonts w:ascii="Times New Roman" w:hAnsi="Times New Roman"/>
          <w:sz w:val="28"/>
          <w:szCs w:val="28"/>
        </w:rPr>
        <w:t xml:space="preserve">роле (надзоре) и муниципальном контроле в Российской Федерации» (в редакции </w:t>
      </w:r>
      <w:r>
        <w:rPr>
          <w:rFonts w:ascii="Times New Roman" w:hAnsi="Times New Roman"/>
          <w:color w:val="000000"/>
          <w:sz w:val="28"/>
          <w:szCs w:val="28"/>
        </w:rPr>
        <w:t>Федерального закона от 28.12.2024 г. № 540-ФЗ «О внесении изменений в Федеральный закон «О государственном контроле (надзоре) и муниципальном контроле в Российской Федерации»)</w:t>
      </w:r>
      <w:r>
        <w:rPr>
          <w:rFonts w:ascii="Times New Roman" w:hAnsi="Times New Roman"/>
          <w:sz w:val="28"/>
          <w:szCs w:val="28"/>
        </w:rPr>
        <w:t>.</w:t>
      </w:r>
      <w:bookmarkEnd w:id="0"/>
      <w:r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</w:p>
    <w:p w:rsidR="008F197B" w:rsidRDefault="000077C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eastAsia="en-US"/>
        </w:rPr>
        <w:t>1.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en-US"/>
        </w:rPr>
        <w:t xml:space="preserve">6. </w:t>
      </w:r>
      <w:r>
        <w:rPr>
          <w:rFonts w:ascii="Times New Roman" w:hAnsi="Times New Roman"/>
          <w:sz w:val="28"/>
          <w:szCs w:val="28"/>
          <w:shd w:val="clear" w:color="auto" w:fill="FFFFFF"/>
        </w:rPr>
        <w:t>Краткое описание содержания предлагаемого правового регулирования:</w:t>
      </w:r>
    </w:p>
    <w:p w:rsidR="008F197B" w:rsidRDefault="000077C0">
      <w:pPr>
        <w:shd w:val="clear" w:color="auto" w:fill="FFFFFF"/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Проектом предлагается привести МНПА в соответствие с Федеральным законом 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en-US"/>
        </w:rPr>
        <w:t xml:space="preserve">, а именно: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en-US"/>
        </w:rPr>
        <w:t>актуализация сроков оформления акта проведения контрольного (надзорного) мероприятия.</w:t>
      </w:r>
    </w:p>
    <w:p w:rsidR="008F197B" w:rsidRDefault="000077C0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1.6.1. Обоснование степени регулирующего воздействия</w:t>
      </w:r>
    </w:p>
    <w:p w:rsidR="008F197B" w:rsidRDefault="000077C0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Степень регулирующего воздействия - средняя.</w:t>
      </w:r>
    </w:p>
    <w:p w:rsidR="008F197B" w:rsidRDefault="000077C0">
      <w:pPr>
        <w:pStyle w:val="ConsPlusNormal"/>
        <w:ind w:firstLine="540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 муниципального нормативного правового акта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содержит положения, расширяющие предмет муниципального жилищного контроля. </w:t>
      </w:r>
      <w:bookmarkStart w:id="1" w:name="_Hlk157524251"/>
    </w:p>
    <w:bookmarkEnd w:id="1"/>
    <w:p w:rsidR="008F197B" w:rsidRDefault="000077C0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1.7. Контактная информация исполнителя в регулирующем органе:</w:t>
      </w:r>
    </w:p>
    <w:p w:rsidR="008F197B" w:rsidRDefault="000077C0">
      <w:pPr>
        <w:ind w:firstLine="851"/>
        <w:contextualSpacing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Бобрышева Елена Александровна, главный специалист отдела по вопросам ЖКХ, транспорта, энергообеспечения и связи. </w:t>
      </w:r>
    </w:p>
    <w:p w:rsidR="008F197B" w:rsidRDefault="000077C0">
      <w:pPr>
        <w:ind w:firstLine="851"/>
        <w:contextualSpacing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Тел.</w:t>
      </w:r>
      <w:r>
        <w:rPr>
          <w:rFonts w:ascii="Times New Roman" w:hAnsi="Times New Roman"/>
          <w:sz w:val="28"/>
          <w:szCs w:val="28"/>
          <w:shd w:val="clear" w:color="auto" w:fill="FFFFFF"/>
        </w:rPr>
        <w:t>: 4-12-05.</w:t>
      </w:r>
    </w:p>
    <w:p w:rsidR="008F197B" w:rsidRDefault="000077C0">
      <w:pPr>
        <w:ind w:firstLine="851"/>
        <w:contextualSpacing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Адрес электронной почты: 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otdel</w:t>
      </w:r>
      <w:r w:rsidRPr="000077C0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jkh</w:t>
      </w:r>
      <w:r>
        <w:rPr>
          <w:rFonts w:ascii="Times New Roman" w:hAnsi="Times New Roman"/>
          <w:sz w:val="28"/>
          <w:szCs w:val="28"/>
          <w:shd w:val="clear" w:color="auto" w:fill="FFFFFF"/>
        </w:rPr>
        <w:t>@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amoulr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ru</w:t>
      </w:r>
    </w:p>
    <w:p w:rsidR="008F197B" w:rsidRDefault="000077C0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 Описание проблемы, на решение которой направлено предлагаемое правовое регулирование: </w:t>
      </w:r>
    </w:p>
    <w:p w:rsidR="008F197B" w:rsidRDefault="000077C0">
      <w:pPr>
        <w:shd w:val="clear" w:color="auto" w:fill="FFFFFF"/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Приведение НПА в соответстви</w:t>
      </w:r>
      <w:r>
        <w:rPr>
          <w:rFonts w:ascii="Times New Roman" w:hAnsi="Times New Roman"/>
          <w:sz w:val="28"/>
          <w:szCs w:val="28"/>
          <w:shd w:val="clear" w:color="auto" w:fill="FFFFFF"/>
        </w:rPr>
        <w:t>е с Федеральным законом  от 31.07.2020 № 248-ФЗ «О государственном контроле (надзо</w:t>
      </w:r>
      <w:r>
        <w:rPr>
          <w:rFonts w:ascii="Times New Roman" w:hAnsi="Times New Roman"/>
          <w:sz w:val="28"/>
          <w:szCs w:val="28"/>
          <w:shd w:val="clear" w:color="auto" w:fill="FFFFFF"/>
        </w:rPr>
        <w:t>ре) и муниципальном контроле в Российской Федерации».</w:t>
      </w:r>
    </w:p>
    <w:p w:rsidR="008F197B" w:rsidRDefault="000077C0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2.1. Формулировка проблемы:</w:t>
      </w:r>
    </w:p>
    <w:p w:rsidR="008F197B" w:rsidRDefault="000077C0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Несоответствие НПА Федеральному закону 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:rsidR="008F197B" w:rsidRDefault="000077C0">
      <w:pPr>
        <w:pStyle w:val="af6"/>
        <w:tabs>
          <w:tab w:val="left" w:pos="709"/>
          <w:tab w:val="left" w:pos="1027"/>
        </w:tabs>
        <w:ind w:firstLine="851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2.2. Информация о возни</w:t>
      </w:r>
      <w:r>
        <w:rPr>
          <w:rFonts w:ascii="Times New Roman" w:hAnsi="Times New Roman"/>
          <w:sz w:val="28"/>
          <w:szCs w:val="28"/>
          <w:shd w:val="clear" w:color="auto" w:fill="FFFFFF"/>
        </w:rPr>
        <w:t>кновении, выявлении проблемы и мерах, пр</w:t>
      </w:r>
      <w:r>
        <w:rPr>
          <w:rFonts w:ascii="Times New Roman" w:hAnsi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sz w:val="28"/>
          <w:szCs w:val="28"/>
          <w:shd w:val="clear" w:color="auto" w:fill="FFFFFF"/>
        </w:rPr>
        <w:t>нятых ранее для ее решения, достигнутых результатах и затраченных ресурсах:</w:t>
      </w:r>
    </w:p>
    <w:p w:rsidR="008F197B" w:rsidRDefault="000077C0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</w:t>
      </w:r>
      <w:r>
        <w:rPr>
          <w:rFonts w:ascii="Times New Roman" w:hAnsi="Times New Roman"/>
          <w:bCs/>
          <w:sz w:val="28"/>
          <w:szCs w:val="28"/>
        </w:rPr>
        <w:t xml:space="preserve">ешение Совета муниципального образования Усть-Лабинский район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от 9 декабря 2021 г. № 8 протокол №20 «Об утверждении Положения по осуществлению муниципального жилищного контроля на территории муниципального образования Усть-Лабинский район» подлежит приведению в соответствие с нормами действующего законодательства по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следующим основаниям: </w:t>
      </w:r>
    </w:p>
    <w:p w:rsidR="008F197B" w:rsidRDefault="000077C0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соответствии с частью 3 статьи 87 </w:t>
      </w:r>
      <w:r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en-US"/>
        </w:rPr>
        <w:t>Федерального закона  от 31.07.2020 № 248-ФЗ «О государственном контроле (надзоре) и муниципальном контроле в Российской Федерации» предусмотрена возможность о</w:t>
      </w:r>
      <w:r>
        <w:rPr>
          <w:rFonts w:ascii="Times New Roman" w:hAnsi="Times New Roman"/>
          <w:color w:val="000000"/>
          <w:sz w:val="28"/>
          <w:szCs w:val="28"/>
        </w:rPr>
        <w:t>формления акта по результатам проведен</w:t>
      </w:r>
      <w:r>
        <w:rPr>
          <w:rFonts w:ascii="Times New Roman" w:hAnsi="Times New Roman"/>
          <w:color w:val="000000"/>
          <w:sz w:val="28"/>
          <w:szCs w:val="28"/>
        </w:rPr>
        <w:t xml:space="preserve">ия контрольного мероприятия не позднее дня, следующего за днем окончания такого мероприятия, </w:t>
      </w:r>
      <w:r>
        <w:rPr>
          <w:rFonts w:ascii="Times New Roman" w:hAnsi="Times New Roman"/>
          <w:color w:val="000000"/>
          <w:sz w:val="28"/>
        </w:rPr>
        <w:t>если</w:t>
      </w:r>
      <w:r w:rsidRPr="000077C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составление</w:t>
      </w:r>
      <w:r w:rsidRPr="000077C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акта на месте</w:t>
      </w:r>
      <w:r w:rsidRPr="000077C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проведения</w:t>
      </w:r>
      <w:r w:rsidRPr="000077C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такого</w:t>
      </w:r>
      <w:r w:rsidRPr="000077C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мероприятия</w:t>
      </w:r>
      <w:r w:rsidRPr="000077C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невозможно по причинам</w:t>
      </w:r>
      <w:r w:rsidRPr="000077C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установленным</w:t>
      </w:r>
      <w:r w:rsidRPr="000077C0">
        <w:rPr>
          <w:rFonts w:ascii="Times New Roman" w:hAnsi="Times New Roman"/>
          <w:color w:val="000000"/>
          <w:sz w:val="28"/>
        </w:rPr>
        <w:t xml:space="preserve">  </w:t>
      </w:r>
      <w:r>
        <w:rPr>
          <w:rFonts w:ascii="Times New Roman" w:hAnsi="Times New Roman"/>
          <w:color w:val="000000"/>
          <w:sz w:val="28"/>
        </w:rPr>
        <w:t>Федеральным</w:t>
      </w:r>
      <w:r w:rsidRPr="000077C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законом от 31.07.2020 № 248-ФЗ</w:t>
      </w:r>
      <w:r w:rsidRPr="000077C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если</w:t>
      </w:r>
      <w:r w:rsidRPr="000077C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иной</w:t>
      </w:r>
      <w:r w:rsidRPr="000077C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порядок</w:t>
      </w:r>
      <w:r w:rsidRPr="000077C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формления</w:t>
      </w:r>
      <w:r w:rsidRPr="000077C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акта не установлен</w:t>
      </w:r>
      <w:r w:rsidRPr="000077C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Федеральным</w:t>
      </w:r>
      <w:r w:rsidRPr="000077C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законом от 31.07.2020 № 248-ФЗ</w:t>
      </w:r>
      <w:r w:rsidRPr="000077C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или</w:t>
      </w:r>
      <w:r w:rsidRPr="000077C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Правительством</w:t>
      </w:r>
      <w:r w:rsidRPr="000077C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Российской</w:t>
      </w:r>
      <w:r w:rsidRPr="000077C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Федерации.</w:t>
      </w:r>
    </w:p>
    <w:p w:rsidR="008F197B" w:rsidRDefault="000077C0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2.3. Субъекты общественных отношений, заинтересованные в устранении проблемы, их количественная оценка:</w:t>
      </w:r>
    </w:p>
    <w:p w:rsidR="008F197B" w:rsidRDefault="000077C0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Юридические лица, индивидуальные предприниматели и граждане.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Количественная оценка участников не ограничена. Определить точное количество не представляется возможным.</w:t>
      </w:r>
    </w:p>
    <w:p w:rsidR="008F197B" w:rsidRDefault="000077C0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2.4. Характеристика негативных эффектов, возникающих в связи с наличием проблемы, их коли</w:t>
      </w:r>
      <w:r>
        <w:rPr>
          <w:rFonts w:ascii="Times New Roman" w:hAnsi="Times New Roman"/>
          <w:sz w:val="28"/>
          <w:szCs w:val="28"/>
          <w:shd w:val="clear" w:color="auto" w:fill="FFFFFF"/>
        </w:rPr>
        <w:t>чественная оценка:</w:t>
      </w:r>
    </w:p>
    <w:p w:rsidR="008F197B" w:rsidRDefault="000077C0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Невнесение изменений в решение Совета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муниципального образования Усть-Лабинский район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en-US"/>
        </w:rPr>
        <w:t>от 9 декабря 2021 г. № 8 протокол №20 «Об утверждении Положения по осуществлению муниципального жилищного контроля на территории муниципального образов</w:t>
      </w:r>
      <w:r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en-US"/>
        </w:rPr>
        <w:t>ания Усть-Лабинский район» влечет за собой несоответствие нормативного правового акта положениям действующего законодательства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:rsidR="008F197B" w:rsidRDefault="000077C0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2.5. Причины возникновения проблемы и факторы, поддерживающие ее существование:</w:t>
      </w:r>
    </w:p>
    <w:p w:rsidR="008F197B" w:rsidRDefault="000077C0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Необходимость принятия НПА с учетом внесенных из</w:t>
      </w:r>
      <w:r>
        <w:rPr>
          <w:rFonts w:ascii="Times New Roman" w:hAnsi="Times New Roman"/>
          <w:sz w:val="28"/>
          <w:szCs w:val="28"/>
          <w:shd w:val="clear" w:color="auto" w:fill="FFFFFF"/>
        </w:rPr>
        <w:t>менений в  Федеральный закон 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en-US"/>
        </w:rPr>
        <w:t>.</w:t>
      </w:r>
    </w:p>
    <w:p w:rsidR="008F197B" w:rsidRDefault="000077C0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2.6. Причины невозможности решения проблемы участниками соответствующих отношений самостоятельно, без вмешательства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государства:</w:t>
      </w:r>
    </w:p>
    <w:p w:rsidR="008F197B" w:rsidRDefault="000077C0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Нормативные правовые акты издают в пределах своей компетенции органы исполнительной власти субъектов Российской Федерации, представительные органы местного самоуправления.</w:t>
      </w:r>
    </w:p>
    <w:p w:rsidR="008F197B" w:rsidRDefault="000077C0">
      <w:pPr>
        <w:widowControl w:val="0"/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2.7. Опыт решения аналогичных проблем в других субъектах Российской Федерации, муниципальных образованиях Краснодарского края, иностранных государствах: </w:t>
      </w:r>
    </w:p>
    <w:p w:rsidR="008F197B" w:rsidRDefault="000077C0">
      <w:pPr>
        <w:widowControl w:val="0"/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других субъектах Российской Федерации аналогичные проблемы решаются путем разработки и утверждения с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оответствующих региональных или муниципальных правовых актов. </w:t>
      </w:r>
    </w:p>
    <w:p w:rsidR="008F197B" w:rsidRDefault="000077C0">
      <w:pPr>
        <w:spacing w:after="0" w:line="240" w:lineRule="auto"/>
        <w:ind w:firstLine="851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>2.8. Источники данных: Информационно -  правовая система «КонсультантПлюс», официальные сайты субъектов Российской Федерации.</w:t>
      </w:r>
    </w:p>
    <w:p w:rsidR="008F197B" w:rsidRDefault="000077C0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2.9. Иная информация о проблеме: отсутствует иная информация о 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проблеме в других органах исполнительной власти субъектов Российской Федерации, исполнительных органах местного самоуправления.</w:t>
      </w:r>
    </w:p>
    <w:p w:rsidR="008F197B" w:rsidRDefault="008F197B">
      <w:pPr>
        <w:spacing w:after="0" w:line="240" w:lineRule="auto"/>
        <w:ind w:firstLine="851"/>
        <w:rPr>
          <w:shd w:val="clear" w:color="auto" w:fill="FFFFFF"/>
        </w:rPr>
      </w:pPr>
    </w:p>
    <w:p w:rsidR="008F197B" w:rsidRDefault="000077C0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3. Определение целей предлагаемого правового регулирования и индикаторов для оценки их достижения</w:t>
      </w:r>
    </w:p>
    <w:p w:rsidR="008F197B" w:rsidRDefault="008F197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9581" w:type="dxa"/>
        <w:tblInd w:w="1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2"/>
        <w:gridCol w:w="3124"/>
        <w:gridCol w:w="3485"/>
      </w:tblGrid>
      <w:tr w:rsidR="008F197B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97B" w:rsidRDefault="000077C0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3.1. Цели предлагаемого прав</w:t>
            </w:r>
            <w:r>
              <w:rPr>
                <w:rFonts w:ascii="Times New Roman" w:hAnsi="Times New Roman"/>
                <w:shd w:val="clear" w:color="auto" w:fill="FFFFFF"/>
              </w:rPr>
              <w:t>ового регулирования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97B" w:rsidRDefault="000077C0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bookmarkStart w:id="2" w:name="Par270"/>
            <w:bookmarkEnd w:id="2"/>
            <w:r>
              <w:rPr>
                <w:rFonts w:ascii="Times New Roman" w:hAnsi="Times New Roman"/>
                <w:shd w:val="clear" w:color="auto" w:fill="FFFFFF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97B" w:rsidRDefault="000077C0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F197B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97B" w:rsidRDefault="000077C0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Приведение НПА в соответствие с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Федеральным законом  от 31.07.2020 № 248-ФЗ «О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государственном контроле (надзоре) и муниципальном контроле в Российской Федерации»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97B" w:rsidRDefault="000077C0">
            <w:pPr>
              <w:widowControl w:val="0"/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С даты вступления в силу настоящего решения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97B" w:rsidRDefault="000077C0">
            <w:pPr>
              <w:widowControl w:val="0"/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В мониторинге достижения цели не нуждается</w:t>
            </w:r>
          </w:p>
        </w:tc>
      </w:tr>
    </w:tbl>
    <w:p w:rsidR="008F197B" w:rsidRDefault="008F197B">
      <w:pPr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:rsidR="008F197B" w:rsidRDefault="000077C0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3.4. Действующие нормативные правовые акты, поручения, другие решения, из которых 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</w:t>
      </w:r>
    </w:p>
    <w:p w:rsidR="008F197B" w:rsidRDefault="000077C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Федеральный закон от 31.07.2020 № 248-ФЗ «О государственном контроле (надзоре) и муниципальном контроле 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Российской Федерации»</w:t>
      </w:r>
    </w:p>
    <w:p w:rsidR="008F197B" w:rsidRDefault="008F19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tbl>
      <w:tblPr>
        <w:tblW w:w="9582" w:type="dxa"/>
        <w:tblInd w:w="1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2837"/>
        <w:gridCol w:w="1842"/>
        <w:gridCol w:w="1785"/>
      </w:tblGrid>
      <w:tr w:rsidR="008F197B">
        <w:trPr>
          <w:trHeight w:val="1305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B" w:rsidRDefault="000077C0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3.5. Цели предлагаемого правового регулирования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B" w:rsidRDefault="000077C0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bookmarkStart w:id="3" w:name="Par290"/>
            <w:bookmarkEnd w:id="3"/>
            <w:r>
              <w:rPr>
                <w:rFonts w:ascii="Times New Roman" w:hAnsi="Times New Roman"/>
                <w:shd w:val="clear" w:color="auto" w:fill="FFFFFF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B" w:rsidRDefault="000077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B" w:rsidRDefault="000077C0">
            <w:pPr>
              <w:rPr>
                <w:rFonts w:ascii="Times New Roman" w:hAnsi="Times New Roman"/>
                <w:shd w:val="clear" w:color="auto" w:fill="FFFFFF"/>
              </w:rPr>
            </w:pPr>
            <w:bookmarkStart w:id="4" w:name="Par292"/>
            <w:bookmarkEnd w:id="4"/>
            <w:r>
              <w:rPr>
                <w:rFonts w:ascii="Times New Roman" w:hAnsi="Times New Roman"/>
                <w:shd w:val="clear" w:color="auto" w:fill="FFFFFF"/>
              </w:rPr>
              <w:t>3.8. Целевые значения индикаторов по годам</w:t>
            </w:r>
          </w:p>
        </w:tc>
      </w:tr>
      <w:tr w:rsidR="008F197B"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97B" w:rsidRDefault="000077C0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bCs/>
                <w:color w:val="000000"/>
              </w:rPr>
              <w:t>Приведение НПА в соответствие с Федеральным законом от 31.07.2020 № 248-</w:t>
            </w:r>
            <w:r>
              <w:rPr>
                <w:rFonts w:ascii="Times New Roman" w:hAnsi="Times New Roman"/>
                <w:bCs/>
                <w:color w:val="000000"/>
              </w:rPr>
              <w:lastRenderedPageBreak/>
              <w:t xml:space="preserve">ФЗ «О государственном контроле (надзоре) и муниципальном контроле в Российской Федерации» муниципального образования Усть-Лабинский район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97B" w:rsidRDefault="000077C0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bCs/>
                <w:color w:val="000000"/>
              </w:rPr>
              <w:lastRenderedPageBreak/>
              <w:t xml:space="preserve">Принятие решения Совета муниципального </w:t>
            </w:r>
            <w:r>
              <w:rPr>
                <w:rFonts w:ascii="Times New Roman" w:hAnsi="Times New Roman"/>
                <w:bCs/>
                <w:color w:val="000000"/>
              </w:rPr>
              <w:t>образования Усть-</w:t>
            </w:r>
            <w:r>
              <w:rPr>
                <w:rFonts w:ascii="Times New Roman" w:hAnsi="Times New Roman"/>
                <w:bCs/>
                <w:color w:val="000000"/>
              </w:rPr>
              <w:lastRenderedPageBreak/>
              <w:t>Лабинский район «О внесении изм</w:t>
            </w:r>
            <w:r>
              <w:rPr>
                <w:rFonts w:ascii="Times New Roman" w:hAnsi="Times New Roman"/>
                <w:bCs/>
                <w:color w:val="000000"/>
              </w:rPr>
              <w:t>енения в решение Совета муниципального образования Усть-Лабинский район  от 9 декабря 2021 г. № 8 протокол №20 «Об утверждении Положения по осуществлению муниципального жилищного контроля на территории муници</w:t>
            </w:r>
            <w:r>
              <w:rPr>
                <w:rFonts w:ascii="Times New Roman" w:hAnsi="Times New Roman"/>
                <w:bCs/>
                <w:color w:val="000000"/>
              </w:rPr>
              <w:t xml:space="preserve">пального образования Усть-Лабинский район»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97B" w:rsidRDefault="000077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lastRenderedPageBreak/>
              <w:t xml:space="preserve">принято/не принято решение Совета </w:t>
            </w:r>
            <w:r>
              <w:rPr>
                <w:rFonts w:ascii="Times New Roman" w:hAnsi="Times New Roman"/>
                <w:bCs/>
                <w:color w:val="000000"/>
              </w:rPr>
              <w:lastRenderedPageBreak/>
              <w:t>муниципального образования Усть-Лабинский район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97B" w:rsidRDefault="000077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lastRenderedPageBreak/>
              <w:t xml:space="preserve">Август — принято решение Совета </w:t>
            </w:r>
            <w:r>
              <w:rPr>
                <w:rFonts w:ascii="Times New Roman" w:hAnsi="Times New Roman"/>
                <w:bCs/>
                <w:color w:val="000000"/>
              </w:rPr>
              <w:lastRenderedPageBreak/>
              <w:t>муниципального образования Усть-Лабинский район (дата, номер акта)</w:t>
            </w:r>
          </w:p>
        </w:tc>
      </w:tr>
    </w:tbl>
    <w:p w:rsidR="008F197B" w:rsidRDefault="008F19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F197B" w:rsidRDefault="000077C0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3.9. Методы расчета индикаторов достижения целей предлагаемого правового регулирования, источники информации для расчетов: принятие решения Совета </w:t>
      </w:r>
      <w:r>
        <w:rPr>
          <w:rFonts w:ascii="Times New Roman" w:eastAsiaTheme="minorHAnsi" w:hAnsi="Times New Roman"/>
          <w:bCs/>
          <w:sz w:val="28"/>
          <w:szCs w:val="28"/>
          <w:shd w:val="clear" w:color="auto" w:fill="FFFFFF"/>
          <w:lang w:eastAsia="en-US"/>
        </w:rPr>
        <w:t>муниципального образования Усть-Лабинский район «О внесении изменений в решение Совета муниципального образов</w:t>
      </w:r>
      <w:r>
        <w:rPr>
          <w:rFonts w:ascii="Times New Roman" w:eastAsiaTheme="minorHAnsi" w:hAnsi="Times New Roman"/>
          <w:bCs/>
          <w:sz w:val="28"/>
          <w:szCs w:val="28"/>
          <w:shd w:val="clear" w:color="auto" w:fill="FFFFFF"/>
          <w:lang w:eastAsia="en-US"/>
        </w:rPr>
        <w:t>ания Усть-Лабинский район от 9декабря 2021 г. № 8 протокол №20 «Об утверждении Положения по осуществлению муниципального жилищного контроля на территории муниципального образования Усть-Лабинский район»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F197B" w:rsidRDefault="000077C0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3.10. Оценка затрат на проведение мониторинга достиж</w:t>
      </w:r>
      <w:r>
        <w:rPr>
          <w:rFonts w:ascii="Times New Roman" w:hAnsi="Times New Roman"/>
          <w:sz w:val="28"/>
          <w:szCs w:val="28"/>
          <w:shd w:val="clear" w:color="auto" w:fill="FFFFFF"/>
        </w:rPr>
        <w:t>ения целей предлагаемого правового регулирования: дополнительных расходов не потребуется.</w:t>
      </w:r>
    </w:p>
    <w:p w:rsidR="008F197B" w:rsidRDefault="000077C0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4. 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8F197B" w:rsidRDefault="008F19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00"/>
        </w:rPr>
      </w:pPr>
    </w:p>
    <w:tbl>
      <w:tblPr>
        <w:tblW w:w="9571" w:type="dxa"/>
        <w:tblInd w:w="113" w:type="dxa"/>
        <w:tblLayout w:type="fixed"/>
        <w:tblLook w:val="01E0"/>
      </w:tblPr>
      <w:tblGrid>
        <w:gridCol w:w="4503"/>
        <w:gridCol w:w="2970"/>
        <w:gridCol w:w="2098"/>
      </w:tblGrid>
      <w:tr w:rsidR="008F197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B" w:rsidRDefault="000077C0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4.1. Группы потенциальных</w:t>
            </w:r>
          </w:p>
          <w:p w:rsidR="008F197B" w:rsidRDefault="000077C0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адресатов пре</w:t>
            </w:r>
            <w:r>
              <w:rPr>
                <w:rFonts w:ascii="Times New Roman" w:hAnsi="Times New Roman"/>
                <w:shd w:val="clear" w:color="auto" w:fill="FFFFFF"/>
              </w:rPr>
              <w:t>длагаемого</w:t>
            </w:r>
          </w:p>
          <w:p w:rsidR="008F197B" w:rsidRDefault="000077C0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правового регулирования (краткое</w:t>
            </w:r>
          </w:p>
          <w:p w:rsidR="008F197B" w:rsidRDefault="000077C0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описание их качественных</w:t>
            </w:r>
          </w:p>
          <w:p w:rsidR="008F197B" w:rsidRDefault="000077C0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характеристик)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B" w:rsidRDefault="000077C0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4.2. Количество</w:t>
            </w:r>
          </w:p>
          <w:p w:rsidR="008F197B" w:rsidRDefault="000077C0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участников группы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B" w:rsidRDefault="000077C0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4.3. Источники</w:t>
            </w:r>
          </w:p>
          <w:p w:rsidR="008F197B" w:rsidRDefault="000077C0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данных</w:t>
            </w:r>
          </w:p>
          <w:p w:rsidR="008F197B" w:rsidRDefault="008F197B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8F197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B" w:rsidRDefault="000077C0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 xml:space="preserve">Юридические лица, индивидуальные предприниматели и граждане к деятельности (действиям) которых предъявляются </w:t>
            </w:r>
            <w:r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обязательные требования, установленные ч. 1 ст. 20 Жилищного кодекса Российской Федерации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B" w:rsidRDefault="000077C0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Не ограничено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B" w:rsidRDefault="000077C0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отсутствуют</w:t>
            </w:r>
          </w:p>
        </w:tc>
      </w:tr>
    </w:tbl>
    <w:p w:rsidR="008F197B" w:rsidRDefault="008F19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00"/>
        </w:rPr>
      </w:pPr>
    </w:p>
    <w:p w:rsidR="008F197B" w:rsidRDefault="000077C0">
      <w:pPr>
        <w:spacing w:after="0" w:line="240" w:lineRule="auto"/>
        <w:ind w:firstLine="851"/>
        <w:jc w:val="both"/>
        <w:rPr>
          <w:shd w:val="clear" w:color="auto" w:fill="FFFF00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5. Изменение функций (полномочий, обязанностей, прав) органов местного самоуправления, а также порядка их реализации в связи с введением п</w:t>
      </w:r>
      <w:r>
        <w:rPr>
          <w:rFonts w:ascii="Times New Roman" w:hAnsi="Times New Roman"/>
          <w:sz w:val="28"/>
          <w:szCs w:val="28"/>
          <w:shd w:val="clear" w:color="auto" w:fill="FFFFFF"/>
        </w:rPr>
        <w:t>редлагаемого правового регулирования:</w:t>
      </w:r>
    </w:p>
    <w:p w:rsidR="008F197B" w:rsidRDefault="008F197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9747" w:type="dxa"/>
        <w:tblInd w:w="113" w:type="dxa"/>
        <w:tblLayout w:type="fixed"/>
        <w:tblLook w:val="01E0"/>
      </w:tblPr>
      <w:tblGrid>
        <w:gridCol w:w="2658"/>
        <w:gridCol w:w="1744"/>
        <w:gridCol w:w="1943"/>
        <w:gridCol w:w="1843"/>
        <w:gridCol w:w="1559"/>
      </w:tblGrid>
      <w:tr w:rsidR="008F197B">
        <w:trPr>
          <w:trHeight w:val="2085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B" w:rsidRDefault="000077C0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5.1. Наименование</w:t>
            </w:r>
          </w:p>
          <w:p w:rsidR="008F197B" w:rsidRDefault="000077C0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функции</w:t>
            </w:r>
          </w:p>
          <w:p w:rsidR="008F197B" w:rsidRDefault="000077C0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(полномочия,</w:t>
            </w:r>
          </w:p>
          <w:p w:rsidR="008F197B" w:rsidRDefault="000077C0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обязанности или</w:t>
            </w:r>
          </w:p>
          <w:p w:rsidR="008F197B" w:rsidRDefault="000077C0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права)</w:t>
            </w:r>
          </w:p>
          <w:p w:rsidR="008F197B" w:rsidRDefault="008F197B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B" w:rsidRDefault="000077C0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5.2.Характер</w:t>
            </w:r>
          </w:p>
          <w:p w:rsidR="008F197B" w:rsidRDefault="000077C0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функции</w:t>
            </w:r>
          </w:p>
          <w:p w:rsidR="008F197B" w:rsidRDefault="000077C0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(новая /</w:t>
            </w:r>
          </w:p>
          <w:p w:rsidR="008F197B" w:rsidRDefault="000077C0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изменяемая /</w:t>
            </w:r>
          </w:p>
          <w:p w:rsidR="008F197B" w:rsidRDefault="000077C0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отменяемая)</w:t>
            </w:r>
          </w:p>
          <w:p w:rsidR="008F197B" w:rsidRDefault="008F197B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B" w:rsidRDefault="000077C0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5.3.</w:t>
            </w:r>
          </w:p>
          <w:p w:rsidR="008F197B" w:rsidRDefault="000077C0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Предполагаемый</w:t>
            </w:r>
          </w:p>
          <w:p w:rsidR="008F197B" w:rsidRDefault="000077C0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порядок</w:t>
            </w:r>
          </w:p>
          <w:p w:rsidR="008F197B" w:rsidRDefault="000077C0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реализации</w:t>
            </w:r>
          </w:p>
          <w:p w:rsidR="008F197B" w:rsidRDefault="008F197B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B" w:rsidRDefault="000077C0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5.4. Оценка</w:t>
            </w:r>
          </w:p>
          <w:p w:rsidR="008F197B" w:rsidRDefault="000077C0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изменения</w:t>
            </w:r>
          </w:p>
          <w:p w:rsidR="008F197B" w:rsidRDefault="000077C0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трудовых затрат</w:t>
            </w:r>
          </w:p>
          <w:p w:rsidR="008F197B" w:rsidRDefault="000077C0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(чел./час в год),</w:t>
            </w:r>
          </w:p>
          <w:p w:rsidR="008F197B" w:rsidRDefault="000077C0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изменения</w:t>
            </w:r>
          </w:p>
          <w:p w:rsidR="008F197B" w:rsidRDefault="000077C0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численности</w:t>
            </w:r>
          </w:p>
          <w:p w:rsidR="008F197B" w:rsidRDefault="000077C0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сотрудников</w:t>
            </w:r>
          </w:p>
          <w:p w:rsidR="008F197B" w:rsidRDefault="000077C0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(чел.)</w:t>
            </w:r>
          </w:p>
          <w:p w:rsidR="008F197B" w:rsidRDefault="008F197B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B" w:rsidRDefault="000077C0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5.5. Оценка</w:t>
            </w:r>
          </w:p>
          <w:p w:rsidR="008F197B" w:rsidRDefault="000077C0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изменения</w:t>
            </w:r>
          </w:p>
          <w:p w:rsidR="008F197B" w:rsidRDefault="000077C0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потребностей</w:t>
            </w:r>
          </w:p>
          <w:p w:rsidR="008F197B" w:rsidRDefault="000077C0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в других</w:t>
            </w:r>
          </w:p>
          <w:p w:rsidR="008F197B" w:rsidRDefault="000077C0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ресурсах</w:t>
            </w:r>
          </w:p>
          <w:p w:rsidR="008F197B" w:rsidRDefault="008F197B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8F197B"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97B" w:rsidRDefault="000077C0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оформление акта по результатам проведения контрольного мероприятия не позднее дня, следующего за днем окончания такого мероприятия, если составление акта на </w:t>
            </w:r>
            <w:r>
              <w:rPr>
                <w:rFonts w:ascii="Times New Roman" w:hAnsi="Times New Roman"/>
                <w:shd w:val="clear" w:color="auto" w:fill="FFFFFF"/>
              </w:rPr>
              <w:t>месте проведения такого мероприятия невозможно по причинам, установленным  Федеральным законом от 31.07.2020 № 248-ФЗ, если иной порядок оформления акта не установлен Федеральным законом от 31.07.2020 № 248-ФЗ или Правительством Российской Федерации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B" w:rsidRDefault="000077C0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изменя</w:t>
            </w:r>
            <w:r>
              <w:rPr>
                <w:rFonts w:ascii="Times New Roman" w:hAnsi="Times New Roman"/>
                <w:shd w:val="clear" w:color="auto" w:fill="FFFFFF"/>
              </w:rPr>
              <w:t>емая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B" w:rsidRDefault="000077C0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Согласно утвержденному Положению по осуществлению муниципального жилищного контроля на территории   муниципального образования Усть-Лабинский район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B" w:rsidRDefault="000077C0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Численность сотрудников не изменяется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B" w:rsidRDefault="000077C0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отсутствуют</w:t>
            </w:r>
          </w:p>
        </w:tc>
      </w:tr>
    </w:tbl>
    <w:p w:rsidR="008F197B" w:rsidRDefault="008F197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F197B" w:rsidRDefault="000077C0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6. Оценка дополнительных расходов (доходов)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районного бюджета (бюджета муниципального образования Усть-Лабинский  район), связанных с введением предлагаемого правового регулирования:</w:t>
      </w:r>
    </w:p>
    <w:p w:rsidR="008F197B" w:rsidRDefault="008F197B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</w:p>
    <w:tbl>
      <w:tblPr>
        <w:tblW w:w="9889" w:type="dxa"/>
        <w:tblInd w:w="113" w:type="dxa"/>
        <w:tblLayout w:type="fixed"/>
        <w:tblLook w:val="01E0"/>
      </w:tblPr>
      <w:tblGrid>
        <w:gridCol w:w="3190"/>
        <w:gridCol w:w="3580"/>
        <w:gridCol w:w="3119"/>
      </w:tblGrid>
      <w:tr w:rsidR="008F197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B" w:rsidRDefault="000077C0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6.1. Наименование функции (полномочия, обязанности или права) (в соответствии с</w:t>
            </w:r>
          </w:p>
          <w:p w:rsidR="008F197B" w:rsidRDefault="000077C0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пунктом 5.1)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B" w:rsidRDefault="000077C0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6.2. Виды расходов</w:t>
            </w:r>
          </w:p>
          <w:p w:rsidR="008F197B" w:rsidRDefault="000077C0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(воз</w:t>
            </w:r>
            <w:r>
              <w:rPr>
                <w:rFonts w:ascii="Times New Roman" w:hAnsi="Times New Roman"/>
                <w:shd w:val="clear" w:color="auto" w:fill="FFFFFF"/>
              </w:rPr>
              <w:t>можных поступлений)</w:t>
            </w:r>
          </w:p>
          <w:p w:rsidR="008F197B" w:rsidRDefault="000077C0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районного бюджета (бюджета муниципального образования Усть-Лабинский район)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B" w:rsidRDefault="000077C0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6.3.Количественная</w:t>
            </w:r>
          </w:p>
          <w:p w:rsidR="008F197B" w:rsidRDefault="000077C0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оценка расходов и</w:t>
            </w:r>
          </w:p>
          <w:p w:rsidR="008F197B" w:rsidRDefault="000077C0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возможных</w:t>
            </w:r>
          </w:p>
          <w:p w:rsidR="008F197B" w:rsidRDefault="000077C0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поступлений,</w:t>
            </w:r>
          </w:p>
          <w:p w:rsidR="008F197B" w:rsidRDefault="000077C0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млн. рублей</w:t>
            </w:r>
          </w:p>
        </w:tc>
      </w:tr>
      <w:tr w:rsidR="008F197B">
        <w:trPr>
          <w:trHeight w:val="14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97B" w:rsidRDefault="000077C0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  <w:t xml:space="preserve">Осуществление муниципального жилищного контроля на территории муниципального </w:t>
            </w:r>
            <w:r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  <w:t>образования Усть-Лабинский район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B" w:rsidRDefault="000077C0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отсутствуют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B" w:rsidRDefault="000077C0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отсутствуют</w:t>
            </w:r>
          </w:p>
          <w:p w:rsidR="008F197B" w:rsidRDefault="008F197B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</w:tr>
    </w:tbl>
    <w:p w:rsidR="008F197B" w:rsidRDefault="008F197B">
      <w:pPr>
        <w:tabs>
          <w:tab w:val="left" w:pos="9498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F197B" w:rsidRDefault="000077C0">
      <w:pPr>
        <w:tabs>
          <w:tab w:val="left" w:pos="9498"/>
        </w:tabs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6.4. Другие сведения о дополнительных расходах (доходах) районного бюджета (бюджета муниципального образования Усть-Лабинский район), возникающих в связи с введением предлагаемого правового регулирования: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отсутствуют.</w:t>
      </w:r>
    </w:p>
    <w:p w:rsidR="008F197B" w:rsidRDefault="000077C0">
      <w:pPr>
        <w:tabs>
          <w:tab w:val="left" w:pos="9498"/>
        </w:tabs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6.5. Источники данных: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отсутствуют.</w:t>
      </w:r>
    </w:p>
    <w:p w:rsidR="008F197B" w:rsidRDefault="000077C0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7.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8F197B" w:rsidRDefault="008F19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9747" w:type="dxa"/>
        <w:tblInd w:w="113" w:type="dxa"/>
        <w:tblLayout w:type="fixed"/>
        <w:tblLook w:val="01E0"/>
      </w:tblPr>
      <w:tblGrid>
        <w:gridCol w:w="1921"/>
        <w:gridCol w:w="31"/>
        <w:gridCol w:w="4281"/>
        <w:gridCol w:w="2097"/>
        <w:gridCol w:w="1417"/>
      </w:tblGrid>
      <w:tr w:rsidR="008F197B"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B" w:rsidRDefault="000077C0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7.1. Группы</w:t>
            </w:r>
          </w:p>
          <w:p w:rsidR="008F197B" w:rsidRDefault="000077C0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потенциальных</w:t>
            </w:r>
          </w:p>
          <w:p w:rsidR="008F197B" w:rsidRDefault="000077C0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адресатов</w:t>
            </w:r>
          </w:p>
          <w:p w:rsidR="008F197B" w:rsidRDefault="000077C0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предлагаемого</w:t>
            </w:r>
          </w:p>
          <w:p w:rsidR="008F197B" w:rsidRDefault="000077C0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правового</w:t>
            </w:r>
          </w:p>
          <w:p w:rsidR="008F197B" w:rsidRDefault="000077C0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регулирования</w:t>
            </w:r>
          </w:p>
          <w:p w:rsidR="008F197B" w:rsidRDefault="000077C0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(в соответствии</w:t>
            </w:r>
          </w:p>
          <w:p w:rsidR="008F197B" w:rsidRDefault="000077C0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с п. 4.1 свод</w:t>
            </w:r>
            <w:r>
              <w:rPr>
                <w:rFonts w:ascii="Times New Roman" w:hAnsi="Times New Roman"/>
                <w:shd w:val="clear" w:color="auto" w:fill="FFFFFF"/>
              </w:rPr>
              <w:t>ного</w:t>
            </w:r>
          </w:p>
          <w:p w:rsidR="008F197B" w:rsidRDefault="000077C0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отчета)</w:t>
            </w:r>
          </w:p>
          <w:p w:rsidR="008F197B" w:rsidRDefault="008F197B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B" w:rsidRDefault="000077C0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7.2. Новые обязательные требования, обязанности и</w:t>
            </w:r>
          </w:p>
          <w:p w:rsidR="008F197B" w:rsidRDefault="000077C0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ограничения, изменения</w:t>
            </w:r>
          </w:p>
          <w:p w:rsidR="008F197B" w:rsidRDefault="000077C0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существующих</w:t>
            </w:r>
          </w:p>
          <w:p w:rsidR="008F197B" w:rsidRDefault="000077C0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обязанностей и</w:t>
            </w:r>
          </w:p>
          <w:p w:rsidR="008F197B" w:rsidRDefault="000077C0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ограничений, вводимые</w:t>
            </w:r>
          </w:p>
          <w:p w:rsidR="008F197B" w:rsidRDefault="000077C0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предлагаемым правовым</w:t>
            </w:r>
          </w:p>
          <w:p w:rsidR="008F197B" w:rsidRDefault="000077C0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регулированием (с</w:t>
            </w:r>
          </w:p>
          <w:p w:rsidR="008F197B" w:rsidRDefault="000077C0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указанием</w:t>
            </w:r>
          </w:p>
          <w:p w:rsidR="008F197B" w:rsidRDefault="000077C0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соответствующих</w:t>
            </w:r>
          </w:p>
          <w:p w:rsidR="008F197B" w:rsidRDefault="000077C0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положений проекта</w:t>
            </w:r>
          </w:p>
          <w:p w:rsidR="008F197B" w:rsidRDefault="000077C0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муниципального</w:t>
            </w:r>
          </w:p>
          <w:p w:rsidR="008F197B" w:rsidRDefault="000077C0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нормативного </w:t>
            </w:r>
            <w:r>
              <w:rPr>
                <w:rFonts w:ascii="Times New Roman" w:hAnsi="Times New Roman"/>
                <w:shd w:val="clear" w:color="auto" w:fill="FFFFFF"/>
              </w:rPr>
              <w:t>правового</w:t>
            </w:r>
          </w:p>
          <w:p w:rsidR="008F197B" w:rsidRDefault="000077C0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акта)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B" w:rsidRDefault="000077C0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7.3. Описание</w:t>
            </w:r>
          </w:p>
          <w:p w:rsidR="008F197B" w:rsidRDefault="000077C0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расходов и</w:t>
            </w:r>
          </w:p>
          <w:p w:rsidR="008F197B" w:rsidRDefault="000077C0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возможных</w:t>
            </w:r>
          </w:p>
          <w:p w:rsidR="008F197B" w:rsidRDefault="000077C0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доходов,</w:t>
            </w:r>
          </w:p>
          <w:p w:rsidR="008F197B" w:rsidRDefault="000077C0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связанных с</w:t>
            </w:r>
          </w:p>
          <w:p w:rsidR="008F197B" w:rsidRDefault="000077C0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введением</w:t>
            </w:r>
          </w:p>
          <w:p w:rsidR="008F197B" w:rsidRDefault="000077C0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предлагаемого</w:t>
            </w:r>
          </w:p>
          <w:p w:rsidR="008F197B" w:rsidRDefault="000077C0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правового</w:t>
            </w:r>
          </w:p>
          <w:p w:rsidR="008F197B" w:rsidRDefault="000077C0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регулирования</w:t>
            </w:r>
          </w:p>
          <w:p w:rsidR="008F197B" w:rsidRDefault="008F197B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B" w:rsidRDefault="000077C0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7.4.</w:t>
            </w:r>
          </w:p>
          <w:p w:rsidR="008F197B" w:rsidRDefault="000077C0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Количественная оценка,</w:t>
            </w:r>
          </w:p>
          <w:p w:rsidR="008F197B" w:rsidRDefault="000077C0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млн. рублей</w:t>
            </w:r>
          </w:p>
          <w:p w:rsidR="008F197B" w:rsidRDefault="008F197B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8F197B">
        <w:trPr>
          <w:trHeight w:val="841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B" w:rsidRDefault="000077C0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 xml:space="preserve">Юридические лица, индивидуальные предприниматели и граждане к деятельности (действиям) </w:t>
            </w:r>
            <w:r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которых предъявляются обязательные требования, установленные ч. 1 ст. 20 Жилищного кодекса Российской Федерации</w:t>
            </w:r>
          </w:p>
        </w:tc>
        <w:tc>
          <w:tcPr>
            <w:tcW w:w="4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B" w:rsidRDefault="000077C0">
            <w:pPr>
              <w:shd w:val="clear" w:color="auto" w:fill="FFFFFF"/>
              <w:spacing w:after="0" w:line="240" w:lineRule="auto"/>
              <w:ind w:left="113" w:firstLine="57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  <w:lang w:eastAsia="en-US"/>
              </w:rPr>
              <w:t>отсутствуют</w:t>
            </w:r>
          </w:p>
          <w:p w:rsidR="008F197B" w:rsidRDefault="008F197B">
            <w:pPr>
              <w:shd w:val="clear" w:color="auto" w:fill="FFFFFF"/>
              <w:spacing w:after="0" w:line="240" w:lineRule="auto"/>
              <w:ind w:left="113" w:firstLine="113"/>
              <w:jc w:val="both"/>
              <w:rPr>
                <w:shd w:val="clear" w:color="auto" w:fill="FFFFFF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B" w:rsidRDefault="000077C0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B" w:rsidRDefault="000077C0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отсутствуют</w:t>
            </w:r>
          </w:p>
        </w:tc>
      </w:tr>
    </w:tbl>
    <w:p w:rsidR="008F197B" w:rsidRDefault="008F197B">
      <w:pPr>
        <w:spacing w:after="0" w:line="240" w:lineRule="auto"/>
        <w:jc w:val="both"/>
        <w:rPr>
          <w:rFonts w:ascii="Times New Roman" w:hAnsi="Times New Roman"/>
          <w:shd w:val="clear" w:color="auto" w:fill="FFFF00"/>
        </w:rPr>
      </w:pPr>
    </w:p>
    <w:p w:rsidR="008F197B" w:rsidRDefault="000077C0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7.5. Издержки и выгоды адресатов предлагаемого правового регулирования, не поддающиеся количественной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оценке: отсутствуют.</w:t>
      </w:r>
    </w:p>
    <w:p w:rsidR="008F197B" w:rsidRDefault="000077C0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7.6. Источники данных: отсутствуют.</w:t>
      </w:r>
    </w:p>
    <w:p w:rsidR="008F197B" w:rsidRDefault="000077C0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8. Оценка рисков неблагоприятных последствий применения предлагаемого правового регулирования:</w:t>
      </w:r>
    </w:p>
    <w:p w:rsidR="008F197B" w:rsidRDefault="008F197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9571" w:type="dxa"/>
        <w:tblInd w:w="113" w:type="dxa"/>
        <w:tblLayout w:type="fixed"/>
        <w:tblLook w:val="01E0"/>
      </w:tblPr>
      <w:tblGrid>
        <w:gridCol w:w="2393"/>
        <w:gridCol w:w="2393"/>
        <w:gridCol w:w="2398"/>
        <w:gridCol w:w="2387"/>
      </w:tblGrid>
      <w:tr w:rsidR="008F197B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B" w:rsidRDefault="000077C0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8.1. Виды</w:t>
            </w:r>
          </w:p>
          <w:p w:rsidR="008F197B" w:rsidRDefault="000077C0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рисков</w:t>
            </w:r>
          </w:p>
          <w:p w:rsidR="008F197B" w:rsidRDefault="008F197B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B" w:rsidRDefault="000077C0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8.2. Оценка</w:t>
            </w:r>
          </w:p>
          <w:p w:rsidR="008F197B" w:rsidRDefault="000077C0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вероятности</w:t>
            </w:r>
          </w:p>
          <w:p w:rsidR="008F197B" w:rsidRDefault="000077C0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наступления</w:t>
            </w:r>
          </w:p>
          <w:p w:rsidR="008F197B" w:rsidRDefault="000077C0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неблагоприятных</w:t>
            </w:r>
          </w:p>
          <w:p w:rsidR="008F197B" w:rsidRDefault="000077C0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последствий</w:t>
            </w:r>
          </w:p>
          <w:p w:rsidR="008F197B" w:rsidRDefault="008F197B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B" w:rsidRDefault="000077C0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8.3. Методы</w:t>
            </w:r>
          </w:p>
          <w:p w:rsidR="008F197B" w:rsidRDefault="000077C0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контроля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рисков</w:t>
            </w:r>
          </w:p>
          <w:p w:rsidR="008F197B" w:rsidRDefault="008F197B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B" w:rsidRDefault="000077C0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8.4. Степень контроля</w:t>
            </w:r>
          </w:p>
          <w:p w:rsidR="008F197B" w:rsidRDefault="000077C0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рисков (полный /</w:t>
            </w:r>
          </w:p>
          <w:p w:rsidR="008F197B" w:rsidRDefault="000077C0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частичный /</w:t>
            </w:r>
          </w:p>
          <w:p w:rsidR="008F197B" w:rsidRDefault="000077C0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отсутствует)</w:t>
            </w:r>
          </w:p>
          <w:p w:rsidR="008F197B" w:rsidRDefault="008F197B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8F197B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B" w:rsidRDefault="000077C0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отсутствуют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B" w:rsidRDefault="000077C0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отсутствует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B" w:rsidRDefault="000077C0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отсутствуют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B" w:rsidRDefault="000077C0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отсутствует</w:t>
            </w:r>
          </w:p>
        </w:tc>
      </w:tr>
    </w:tbl>
    <w:p w:rsidR="008F197B" w:rsidRDefault="008F197B">
      <w:pPr>
        <w:spacing w:after="0" w:line="240" w:lineRule="auto"/>
        <w:ind w:firstLine="708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F197B" w:rsidRDefault="000077C0">
      <w:pPr>
        <w:spacing w:after="0" w:line="240" w:lineRule="auto"/>
        <w:ind w:firstLine="851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8.5. Источники данных: отсутствуют.</w:t>
      </w:r>
    </w:p>
    <w:p w:rsidR="008F197B" w:rsidRDefault="000077C0">
      <w:pPr>
        <w:spacing w:after="0" w:line="240" w:lineRule="auto"/>
        <w:ind w:firstLine="851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9. Сравнение возможных вариантов решения проблемы:</w:t>
      </w:r>
    </w:p>
    <w:tbl>
      <w:tblPr>
        <w:tblW w:w="9696" w:type="dxa"/>
        <w:tblInd w:w="62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4877"/>
        <w:gridCol w:w="2126"/>
        <w:gridCol w:w="2693"/>
      </w:tblGrid>
      <w:tr w:rsidR="008F197B"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B" w:rsidRDefault="008F197B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B" w:rsidRDefault="000077C0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Вариант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B" w:rsidRDefault="000077C0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Вариант 2</w:t>
            </w:r>
          </w:p>
        </w:tc>
      </w:tr>
      <w:tr w:rsidR="008F197B">
        <w:trPr>
          <w:trHeight w:val="1080"/>
        </w:trPr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B" w:rsidRDefault="000077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9.1 Содержание </w:t>
            </w:r>
            <w:r>
              <w:rPr>
                <w:rFonts w:ascii="Times New Roman" w:hAnsi="Times New Roman"/>
                <w:shd w:val="clear" w:color="auto" w:fill="FFFFFF"/>
              </w:rPr>
              <w:t>варианта решения</w:t>
            </w:r>
          </w:p>
          <w:p w:rsidR="008F197B" w:rsidRDefault="000077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проблемы: </w:t>
            </w:r>
            <w:r>
              <w:rPr>
                <w:rFonts w:ascii="Times New Roman" w:hAnsi="Times New Roman"/>
                <w:shd w:val="clear" w:color="auto" w:fill="FFFFFF"/>
              </w:rPr>
              <w:t xml:space="preserve">принятие решения Совета </w:t>
            </w:r>
            <w:r>
              <w:rPr>
                <w:rFonts w:ascii="Times New Roman" w:eastAsiaTheme="minorHAnsi" w:hAnsi="Times New Roman"/>
                <w:bCs/>
                <w:shd w:val="clear" w:color="auto" w:fill="FFFFFF"/>
                <w:lang w:eastAsia="en-US"/>
              </w:rPr>
              <w:t>муниципального образования Усть-Лабинский район «О внесении изменений в решение Совета муниципального образования Усть-Лабинский район от 9декабря 2021 г. № 8 протокол №20 «Об утверждении Положения по осущ</w:t>
            </w:r>
            <w:r>
              <w:rPr>
                <w:rFonts w:ascii="Times New Roman" w:eastAsiaTheme="minorHAnsi" w:hAnsi="Times New Roman"/>
                <w:bCs/>
                <w:shd w:val="clear" w:color="auto" w:fill="FFFFFF"/>
                <w:lang w:eastAsia="en-US"/>
              </w:rPr>
              <w:t>ествлению муниципального жилищного контроля на территории муниципального образования Усть-Лабинский район»</w:t>
            </w:r>
          </w:p>
          <w:p w:rsidR="008F197B" w:rsidRDefault="008F197B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B" w:rsidRDefault="000077C0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Принятие муниципального нормативного правового акта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B" w:rsidRDefault="000077C0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Непринятие муниципального нормативного правового акта</w:t>
            </w:r>
          </w:p>
        </w:tc>
      </w:tr>
      <w:tr w:rsidR="008F197B">
        <w:tc>
          <w:tcPr>
            <w:tcW w:w="4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B" w:rsidRDefault="000077C0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9.2. Качественная характеристика и оценка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динамики численности 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B" w:rsidRDefault="000077C0">
            <w:pPr>
              <w:pStyle w:val="ConsPlusNormal"/>
              <w:ind w:firstLine="0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Юридические лица, индивидуальные предприниматели и граждане, к деятельности (действиям) которых предъявляются обязательные требования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B" w:rsidRDefault="000077C0">
            <w:pPr>
              <w:pStyle w:val="ConsPlusNormal"/>
              <w:ind w:firstLine="0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отс</w:t>
            </w:r>
            <w:r>
              <w:rPr>
                <w:rFonts w:ascii="Times New Roman" w:hAnsi="Times New Roman"/>
                <w:shd w:val="clear" w:color="auto" w:fill="FFFFFF"/>
              </w:rPr>
              <w:t>утствуют</w:t>
            </w:r>
          </w:p>
        </w:tc>
      </w:tr>
      <w:tr w:rsidR="008F197B">
        <w:tc>
          <w:tcPr>
            <w:tcW w:w="4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B" w:rsidRDefault="000077C0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B" w:rsidRDefault="000077C0">
            <w:pPr>
              <w:pStyle w:val="ConsPlusNormal"/>
              <w:ind w:firstLine="0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Расходы, связанные с введением предлагаемого правового регулирования, отсутствуют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B" w:rsidRDefault="000077C0">
            <w:pPr>
              <w:pStyle w:val="ConsPlusNormal"/>
              <w:ind w:firstLine="0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нет</w:t>
            </w:r>
          </w:p>
        </w:tc>
      </w:tr>
      <w:tr w:rsidR="008F197B">
        <w:tc>
          <w:tcPr>
            <w:tcW w:w="4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B" w:rsidRDefault="000077C0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9.4. Оценка </w:t>
            </w:r>
            <w:r>
              <w:rPr>
                <w:rFonts w:ascii="Times New Roman" w:hAnsi="Times New Roman"/>
                <w:shd w:val="clear" w:color="auto" w:fill="FFFFFF"/>
              </w:rPr>
              <w:t>дополнительных расходов (доходов) районного бюджета (бюджета муниципального образования Усть-Лабинский район), связанных с введением предлагаемого правового регулирования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B" w:rsidRDefault="000077C0">
            <w:pPr>
              <w:pStyle w:val="ConsPlusNormal"/>
              <w:ind w:firstLine="0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отсутствуют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B" w:rsidRDefault="000077C0">
            <w:pPr>
              <w:pStyle w:val="ConsPlusNormal"/>
              <w:ind w:firstLine="0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отсутствуют</w:t>
            </w:r>
          </w:p>
        </w:tc>
      </w:tr>
      <w:tr w:rsidR="008F197B">
        <w:tc>
          <w:tcPr>
            <w:tcW w:w="4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B" w:rsidRDefault="000077C0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9.5. Оценка возможности достижения заявленных целей регулиро</w:t>
            </w:r>
            <w:r>
              <w:rPr>
                <w:rFonts w:ascii="Times New Roman" w:hAnsi="Times New Roman"/>
                <w:shd w:val="clear" w:color="auto" w:fill="FFFFFF"/>
              </w:rPr>
              <w:t>вания (пункт 3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B" w:rsidRDefault="000077C0">
            <w:pPr>
              <w:pStyle w:val="ConsPlusNormal"/>
              <w:ind w:firstLine="0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Предполагаемая цель будет достигнута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B" w:rsidRDefault="000077C0">
            <w:pPr>
              <w:pStyle w:val="ConsPlusNormal"/>
              <w:ind w:firstLine="0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Цель не будет достигнута</w:t>
            </w:r>
          </w:p>
        </w:tc>
      </w:tr>
      <w:tr w:rsidR="008F197B">
        <w:tc>
          <w:tcPr>
            <w:tcW w:w="4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B" w:rsidRDefault="000077C0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9.6. Оценка рисков неблагоприятных последствий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B" w:rsidRDefault="000077C0">
            <w:pPr>
              <w:pStyle w:val="ConsPlusNormal"/>
              <w:ind w:firstLine="0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отсутствуют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7B" w:rsidRDefault="000077C0">
            <w:pPr>
              <w:pStyle w:val="ConsPlusNormal"/>
              <w:ind w:firstLine="0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отсу</w:t>
            </w:r>
            <w:r>
              <w:rPr>
                <w:rFonts w:ascii="Times New Roman" w:hAnsi="Times New Roman"/>
                <w:shd w:val="clear" w:color="auto" w:fill="FFFFFF"/>
              </w:rPr>
              <w:t>тствуют</w:t>
            </w:r>
          </w:p>
        </w:tc>
      </w:tr>
    </w:tbl>
    <w:p w:rsidR="008F197B" w:rsidRDefault="008F19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F197B" w:rsidRDefault="000077C0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9.7. Обоснование выбора предпочтительного варианта решения выявленной проблемы: </w:t>
      </w:r>
    </w:p>
    <w:p w:rsidR="008F197B" w:rsidRDefault="000077C0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Выбор варианта правового регулирования сделан исходя из оценки возможности достижения заявленных целей регулирования, оценки рисков наступления неблагоприятных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последствий. Выявленная проблема может быть решена исключительно посредством введения предлагаемого правового регулирования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F197B" w:rsidRDefault="000077C0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9.8. Детальное описание предлагаемого варианта решения проблемы: </w:t>
      </w:r>
    </w:p>
    <w:p w:rsidR="008F197B" w:rsidRDefault="000077C0">
      <w:pPr>
        <w:pStyle w:val="ac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iCs/>
          <w:sz w:val="28"/>
          <w:szCs w:val="28"/>
          <w:shd w:val="clear" w:color="auto" w:fill="FFFFFF"/>
        </w:rPr>
        <w:t>Принятие данного постановления обусловлено необходимостью осущест</w:t>
      </w:r>
      <w:r>
        <w:rPr>
          <w:rFonts w:ascii="Times New Roman" w:hAnsi="Times New Roman"/>
          <w:iCs/>
          <w:sz w:val="28"/>
          <w:szCs w:val="28"/>
          <w:shd w:val="clear" w:color="auto" w:fill="FFFFFF"/>
        </w:rPr>
        <w:t>вления муниципального жилищного контроля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соответствии с действующим законодательством Российской Федерации.</w:t>
      </w:r>
    </w:p>
    <w:p w:rsidR="008F197B" w:rsidRDefault="000077C0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10. Оценка необходимости установления переходного периода и (или) отсрочки вступления в силу муниципального нормативного правового акта либо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необходимость распространения предлагаемого правового регулирования на ранее возникшие отношения:</w:t>
      </w:r>
    </w:p>
    <w:p w:rsidR="008F197B" w:rsidRDefault="000077C0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10.1. Предполагаемая дата вступления в силу муниципального нормативного правового акта:</w:t>
      </w:r>
    </w:p>
    <w:p w:rsidR="008F197B" w:rsidRDefault="000077C0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сентябрь 2025 г.</w:t>
      </w:r>
    </w:p>
    <w:p w:rsidR="008F197B" w:rsidRDefault="000077C0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10.2. Необходимость установления переходного периода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 (или) отсрочки введения предлагаемого правового регулирования: нет. </w:t>
      </w:r>
    </w:p>
    <w:p w:rsidR="008F197B" w:rsidRDefault="000077C0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10.3. Необходимость распространения предлагаемого правового регулирования на ранее возникшие отношения: нет.</w:t>
      </w:r>
    </w:p>
    <w:p w:rsidR="008F197B" w:rsidRDefault="000077C0">
      <w:pPr>
        <w:spacing w:after="0" w:line="240" w:lineRule="auto"/>
        <w:ind w:firstLine="851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10.3.1. Период распространения на ранее возникшие отношения: нет.</w:t>
      </w:r>
    </w:p>
    <w:p w:rsidR="008F197B" w:rsidRDefault="000077C0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10.4. Обос</w:t>
      </w:r>
      <w:r>
        <w:rPr>
          <w:rFonts w:ascii="Times New Roman" w:hAnsi="Times New Roman"/>
          <w:sz w:val="28"/>
          <w:szCs w:val="28"/>
          <w:shd w:val="clear" w:color="auto" w:fill="FFFFFF"/>
        </w:rPr>
        <w:t>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отношения: не требуется.</w:t>
      </w:r>
    </w:p>
    <w:p w:rsidR="008F197B" w:rsidRDefault="000077C0">
      <w:pPr>
        <w:spacing w:after="0" w:line="240" w:lineRule="auto"/>
        <w:ind w:firstLine="851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Иные п</w:t>
      </w:r>
      <w:r>
        <w:rPr>
          <w:rFonts w:ascii="Times New Roman" w:hAnsi="Times New Roman"/>
          <w:sz w:val="28"/>
          <w:szCs w:val="28"/>
          <w:shd w:val="clear" w:color="auto" w:fill="FFFFFF"/>
        </w:rPr>
        <w:t>риложения (по усмотрению регулирующего органа).</w:t>
      </w:r>
    </w:p>
    <w:p w:rsidR="008F197B" w:rsidRDefault="000077C0">
      <w:pPr>
        <w:spacing w:after="0" w:line="240" w:lineRule="auto"/>
        <w:ind w:firstLine="851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Не требуется</w:t>
      </w:r>
    </w:p>
    <w:p w:rsidR="008F197B" w:rsidRDefault="008F197B">
      <w:pPr>
        <w:spacing w:after="0" w:line="240" w:lineRule="auto"/>
        <w:ind w:right="-285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F197B" w:rsidRDefault="008F197B">
      <w:pPr>
        <w:spacing w:after="0" w:line="240" w:lineRule="auto"/>
        <w:ind w:right="-285" w:firstLine="851"/>
        <w:jc w:val="both"/>
        <w:rPr>
          <w:rFonts w:ascii="Times New Roman" w:hAnsi="Times New Roman"/>
          <w:sz w:val="28"/>
          <w:szCs w:val="28"/>
        </w:rPr>
      </w:pPr>
    </w:p>
    <w:p w:rsidR="008F197B" w:rsidRDefault="000077C0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 </w:t>
      </w:r>
    </w:p>
    <w:p w:rsidR="008F197B" w:rsidRDefault="000077C0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начальника отдела  по вопросам ЖКХ, </w:t>
      </w:r>
    </w:p>
    <w:p w:rsidR="008F197B" w:rsidRDefault="000077C0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транспорта, энергообеспечения и связи</w:t>
      </w:r>
    </w:p>
    <w:p w:rsidR="008F197B" w:rsidRDefault="000077C0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муниципального </w:t>
      </w:r>
    </w:p>
    <w:p w:rsidR="008F197B" w:rsidRDefault="000077C0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Усть-Лабинский район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В.С. Грабельная</w:t>
      </w:r>
    </w:p>
    <w:sectPr w:rsidR="008F197B" w:rsidSect="008F197B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97B" w:rsidRDefault="008F197B" w:rsidP="008F197B">
      <w:pPr>
        <w:spacing w:after="0" w:line="240" w:lineRule="auto"/>
      </w:pPr>
      <w:r>
        <w:separator/>
      </w:r>
    </w:p>
  </w:endnote>
  <w:endnote w:type="continuationSeparator" w:id="0">
    <w:p w:rsidR="008F197B" w:rsidRDefault="008F197B" w:rsidP="008F1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97B" w:rsidRDefault="008F197B" w:rsidP="008F197B">
      <w:pPr>
        <w:spacing w:after="0" w:line="240" w:lineRule="auto"/>
      </w:pPr>
      <w:r>
        <w:separator/>
      </w:r>
    </w:p>
  </w:footnote>
  <w:footnote w:type="continuationSeparator" w:id="0">
    <w:p w:rsidR="008F197B" w:rsidRDefault="008F197B" w:rsidP="008F1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97B" w:rsidRDefault="008F197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92163838"/>
      <w:docPartObj>
        <w:docPartGallery w:val="Page Numbers (Top of Page)"/>
        <w:docPartUnique/>
      </w:docPartObj>
    </w:sdtPr>
    <w:sdtContent>
      <w:p w:rsidR="008F197B" w:rsidRDefault="008F197B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 w:rsidR="000077C0">
          <w:rPr>
            <w:rFonts w:ascii="Times New Roman" w:hAnsi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0077C0">
          <w:rPr>
            <w:rFonts w:ascii="Times New Roman" w:hAnsi="Times New Roman"/>
            <w:noProof/>
            <w:sz w:val="28"/>
            <w:szCs w:val="28"/>
          </w:rPr>
          <w:t>2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97B" w:rsidRDefault="008F197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D5C3F"/>
    <w:multiLevelType w:val="multilevel"/>
    <w:tmpl w:val="61AA34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E28144F"/>
    <w:multiLevelType w:val="multilevel"/>
    <w:tmpl w:val="42FE59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6"/>
      <w:numFmt w:val="decimal"/>
      <w:isLgl/>
      <w:lvlText w:val="%1.%2."/>
      <w:lvlJc w:val="left"/>
      <w:pPr>
        <w:tabs>
          <w:tab w:val="num" w:pos="0"/>
        </w:tabs>
        <w:ind w:left="1428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77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484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5304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197B"/>
    <w:rsid w:val="000077C0"/>
    <w:rsid w:val="008F1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35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E4600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D750C"/>
    <w:pPr>
      <w:spacing w:beforeAutospacing="1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3D133A"/>
  </w:style>
  <w:style w:type="character" w:customStyle="1" w:styleId="a5">
    <w:name w:val="Нижний колонтитул Знак"/>
    <w:basedOn w:val="a0"/>
    <w:link w:val="a6"/>
    <w:uiPriority w:val="99"/>
    <w:qFormat/>
    <w:rsid w:val="003D133A"/>
  </w:style>
  <w:style w:type="character" w:customStyle="1" w:styleId="a7">
    <w:name w:val="Текст выноски Знак"/>
    <w:link w:val="a8"/>
    <w:uiPriority w:val="99"/>
    <w:semiHidden/>
    <w:qFormat/>
    <w:rsid w:val="0005734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qFormat/>
    <w:rsid w:val="003D750C"/>
    <w:rPr>
      <w:rFonts w:ascii="Times New Roman" w:hAnsi="Times New Roman"/>
      <w:b/>
      <w:bCs/>
      <w:sz w:val="36"/>
      <w:szCs w:val="36"/>
    </w:rPr>
  </w:style>
  <w:style w:type="character" w:customStyle="1" w:styleId="InternetLink">
    <w:name w:val="Internet Link"/>
    <w:uiPriority w:val="99"/>
    <w:unhideWhenUsed/>
    <w:qFormat/>
    <w:rsid w:val="003D750C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qFormat/>
    <w:rsid w:val="00AE460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9">
    <w:name w:val="Цветовое выделение"/>
    <w:uiPriority w:val="99"/>
    <w:qFormat/>
    <w:rsid w:val="002A6F9A"/>
    <w:rPr>
      <w:b/>
      <w:bCs w:val="0"/>
      <w:color w:val="000000"/>
    </w:rPr>
  </w:style>
  <w:style w:type="character" w:styleId="aa">
    <w:name w:val="Strong"/>
    <w:basedOn w:val="a0"/>
    <w:uiPriority w:val="22"/>
    <w:qFormat/>
    <w:rsid w:val="00522432"/>
    <w:rPr>
      <w:b/>
      <w:bCs/>
    </w:rPr>
  </w:style>
  <w:style w:type="character" w:customStyle="1" w:styleId="InternetLink1">
    <w:name w:val="Internet Link1"/>
    <w:basedOn w:val="a0"/>
    <w:uiPriority w:val="99"/>
    <w:unhideWhenUsed/>
    <w:qFormat/>
    <w:rsid w:val="00522432"/>
    <w:rPr>
      <w:color w:val="0563C1" w:themeColor="hyperlink"/>
      <w:u w:val="single"/>
    </w:rPr>
  </w:style>
  <w:style w:type="character" w:customStyle="1" w:styleId="ab">
    <w:name w:val="Без интервала Знак"/>
    <w:link w:val="ac"/>
    <w:qFormat/>
    <w:rsid w:val="00B95EC2"/>
    <w:rPr>
      <w:sz w:val="22"/>
      <w:szCs w:val="22"/>
    </w:rPr>
  </w:style>
  <w:style w:type="character" w:customStyle="1" w:styleId="InternetLink2">
    <w:name w:val="Internet Link2"/>
    <w:qFormat/>
    <w:rsid w:val="008F197B"/>
    <w:rPr>
      <w:color w:val="000080"/>
      <w:u w:val="single"/>
    </w:rPr>
  </w:style>
  <w:style w:type="character" w:customStyle="1" w:styleId="InternetLink3">
    <w:name w:val="Internet Link3"/>
    <w:qFormat/>
    <w:rsid w:val="008F197B"/>
    <w:rPr>
      <w:color w:val="000080"/>
      <w:u w:val="single"/>
    </w:rPr>
  </w:style>
  <w:style w:type="character" w:customStyle="1" w:styleId="InternetLink4">
    <w:name w:val="Internet Link4"/>
    <w:qFormat/>
    <w:rsid w:val="008F197B"/>
    <w:rPr>
      <w:color w:val="000080"/>
      <w:u w:val="single"/>
    </w:rPr>
  </w:style>
  <w:style w:type="paragraph" w:customStyle="1" w:styleId="ad">
    <w:name w:val="Заголовок"/>
    <w:basedOn w:val="a"/>
    <w:next w:val="ae"/>
    <w:qFormat/>
    <w:rsid w:val="008F197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e">
    <w:name w:val="Body Text"/>
    <w:basedOn w:val="a"/>
    <w:rsid w:val="001E74E5"/>
    <w:pPr>
      <w:spacing w:after="140"/>
    </w:pPr>
  </w:style>
  <w:style w:type="paragraph" w:styleId="af">
    <w:name w:val="List"/>
    <w:basedOn w:val="ae"/>
    <w:rsid w:val="001E74E5"/>
    <w:rPr>
      <w:rFonts w:cs="Droid Sans Devanagari"/>
    </w:rPr>
  </w:style>
  <w:style w:type="paragraph" w:styleId="af0">
    <w:name w:val="caption"/>
    <w:basedOn w:val="a"/>
    <w:qFormat/>
    <w:rsid w:val="001E74E5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1">
    <w:name w:val="index heading"/>
    <w:basedOn w:val="a"/>
    <w:qFormat/>
    <w:rsid w:val="001E74E5"/>
    <w:pPr>
      <w:suppressLineNumbers/>
    </w:pPr>
    <w:rPr>
      <w:rFonts w:cs="Droid Sans Devanagari"/>
    </w:rPr>
  </w:style>
  <w:style w:type="paragraph" w:customStyle="1" w:styleId="11">
    <w:name w:val="Заголовок1"/>
    <w:basedOn w:val="a"/>
    <w:next w:val="ae"/>
    <w:qFormat/>
    <w:rsid w:val="001E74E5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c">
    <w:name w:val="No Spacing"/>
    <w:link w:val="ab"/>
    <w:qFormat/>
    <w:rsid w:val="003746EA"/>
    <w:rPr>
      <w:sz w:val="22"/>
      <w:szCs w:val="22"/>
    </w:rPr>
  </w:style>
  <w:style w:type="paragraph" w:customStyle="1" w:styleId="ConsPlusNormal">
    <w:name w:val="ConsPlusNormal"/>
    <w:qFormat/>
    <w:rsid w:val="00084AFC"/>
    <w:pPr>
      <w:widowControl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qFormat/>
    <w:rsid w:val="000F1863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qFormat/>
    <w:rsid w:val="000F1863"/>
    <w:pPr>
      <w:widowControl w:val="0"/>
    </w:pPr>
    <w:rPr>
      <w:rFonts w:ascii="Arial" w:hAnsi="Arial" w:cs="Arial"/>
      <w:b/>
      <w:bCs/>
    </w:rPr>
  </w:style>
  <w:style w:type="paragraph" w:customStyle="1" w:styleId="af2">
    <w:name w:val="Колонтитул"/>
    <w:basedOn w:val="a"/>
    <w:qFormat/>
    <w:rsid w:val="001E74E5"/>
  </w:style>
  <w:style w:type="paragraph" w:customStyle="1" w:styleId="HeaderandFooter">
    <w:name w:val="Header and Footer"/>
    <w:basedOn w:val="a"/>
    <w:qFormat/>
    <w:rsid w:val="008F197B"/>
  </w:style>
  <w:style w:type="paragraph" w:styleId="a4">
    <w:name w:val="header"/>
    <w:basedOn w:val="a"/>
    <w:link w:val="a3"/>
    <w:uiPriority w:val="99"/>
    <w:unhideWhenUsed/>
    <w:rsid w:val="003D133A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3D133A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alloon Text"/>
    <w:basedOn w:val="a"/>
    <w:link w:val="a7"/>
    <w:uiPriority w:val="99"/>
    <w:semiHidden/>
    <w:unhideWhenUsed/>
    <w:qFormat/>
    <w:rsid w:val="00057343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af3">
    <w:name w:val="Знак Знак Знак Знак Знак Знак"/>
    <w:basedOn w:val="a"/>
    <w:qFormat/>
    <w:rsid w:val="00551E03"/>
    <w:pPr>
      <w:spacing w:beforeAutospacing="1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Содержимое таблицы"/>
    <w:basedOn w:val="a"/>
    <w:qFormat/>
    <w:rsid w:val="001E74E5"/>
    <w:pPr>
      <w:widowControl w:val="0"/>
      <w:suppressLineNumbers/>
    </w:pPr>
  </w:style>
  <w:style w:type="paragraph" w:customStyle="1" w:styleId="af5">
    <w:name w:val="Таблицы (моноширинный)"/>
    <w:basedOn w:val="a"/>
    <w:next w:val="a"/>
    <w:uiPriority w:val="99"/>
    <w:qFormat/>
    <w:rsid w:val="002A6F9A"/>
    <w:pPr>
      <w:widowControl w:val="0"/>
      <w:suppressAutoHyphens w:val="0"/>
      <w:spacing w:after="0" w:line="240" w:lineRule="auto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qFormat/>
    <w:rsid w:val="00E415A0"/>
    <w:pPr>
      <w:widowControl w:val="0"/>
      <w:suppressAutoHyphens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styleId="af7">
    <w:name w:val="List Paragraph"/>
    <w:basedOn w:val="a"/>
    <w:uiPriority w:val="34"/>
    <w:qFormat/>
    <w:rsid w:val="00A75851"/>
    <w:pPr>
      <w:ind w:left="720"/>
      <w:contextualSpacing/>
    </w:pPr>
  </w:style>
  <w:style w:type="paragraph" w:customStyle="1" w:styleId="Default">
    <w:name w:val="Default"/>
    <w:qFormat/>
    <w:rsid w:val="005527A9"/>
    <w:pPr>
      <w:suppressAutoHyphens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f8">
    <w:name w:val="Plain Text"/>
    <w:basedOn w:val="a"/>
    <w:qFormat/>
    <w:rsid w:val="008F197B"/>
    <w:rPr>
      <w:rFonts w:ascii="Courier New" w:hAnsi="Courier New" w:cs="Courier New"/>
      <w:sz w:val="20"/>
      <w:szCs w:val="20"/>
    </w:rPr>
  </w:style>
  <w:style w:type="paragraph" w:customStyle="1" w:styleId="af9">
    <w:name w:val="Заголовок таблицы"/>
    <w:basedOn w:val="af4"/>
    <w:qFormat/>
    <w:rsid w:val="008F197B"/>
    <w:pPr>
      <w:jc w:val="center"/>
    </w:pPr>
    <w:rPr>
      <w:b/>
      <w:bCs/>
    </w:rPr>
  </w:style>
  <w:style w:type="numbering" w:customStyle="1" w:styleId="afa">
    <w:name w:val="Без списка"/>
    <w:uiPriority w:val="99"/>
    <w:semiHidden/>
    <w:unhideWhenUsed/>
    <w:qFormat/>
    <w:rsid w:val="008F197B"/>
  </w:style>
  <w:style w:type="table" w:styleId="afb">
    <w:name w:val="Table Grid"/>
    <w:basedOn w:val="a1"/>
    <w:uiPriority w:val="59"/>
    <w:rsid w:val="00B65F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9740D-B2F1-4471-8201-AE5403341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2332</Words>
  <Characters>13299</Characters>
  <Application>Microsoft Office Word</Application>
  <DocSecurity>0</DocSecurity>
  <Lines>110</Lines>
  <Paragraphs>31</Paragraphs>
  <ScaleCrop>false</ScaleCrop>
  <Company>Reanimator Extreme Edition</Company>
  <LinksUpToDate>false</LinksUpToDate>
  <CharactersWithSpaces>15600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</dc:creator>
  <cp:lastModifiedBy>2356-00042</cp:lastModifiedBy>
  <cp:revision>2</cp:revision>
  <cp:lastPrinted>2025-07-29T15:04:00Z</cp:lastPrinted>
  <dcterms:created xsi:type="dcterms:W3CDTF">2025-08-10T13:38:00Z</dcterms:created>
  <dcterms:modified xsi:type="dcterms:W3CDTF">2025-08-10T13:38:00Z</dcterms:modified>
  <dc:language>ru-RU</dc:language>
</cp:coreProperties>
</file>