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828" w:rsidRPr="008B0828" w:rsidRDefault="008B0828" w:rsidP="008B0828">
      <w:pPr>
        <w:shd w:val="clear" w:color="auto" w:fill="FFFFFF"/>
        <w:spacing w:after="0" w:line="450" w:lineRule="atLeast"/>
        <w:rPr>
          <w:rFonts w:ascii="Inter" w:eastAsia="Times New Roman" w:hAnsi="Inter" w:cs="Times New Roman"/>
          <w:b/>
          <w:color w:val="25272D"/>
          <w:sz w:val="24"/>
          <w:szCs w:val="24"/>
          <w:u w:val="single"/>
        </w:rPr>
      </w:pPr>
      <w:r w:rsidRPr="008B0828">
        <w:rPr>
          <w:rFonts w:ascii="Inter" w:eastAsia="Times New Roman" w:hAnsi="Inter" w:cs="Times New Roman"/>
          <w:b/>
          <w:color w:val="25272D"/>
          <w:sz w:val="24"/>
          <w:szCs w:val="24"/>
          <w:u w:val="single"/>
        </w:rPr>
        <w:t>ПРОИЗВОДИТЕЛЬНОСТЬ ТРУДА (СОФИНАНСИРОВАНИЕ)</w:t>
      </w:r>
    </w:p>
    <w:p w:rsidR="008B0828" w:rsidRPr="008B0828" w:rsidRDefault="008B0828" w:rsidP="008B0828">
      <w:pPr>
        <w:shd w:val="clear" w:color="auto" w:fill="FFFFFF"/>
        <w:spacing w:after="0" w:line="450" w:lineRule="atLeast"/>
        <w:rPr>
          <w:rFonts w:ascii="Inter" w:eastAsia="Times New Roman" w:hAnsi="Inter" w:cs="Times New Roman"/>
          <w:color w:val="25272D"/>
          <w:sz w:val="24"/>
          <w:szCs w:val="24"/>
        </w:rPr>
      </w:pPr>
      <w:r w:rsidRPr="008B0828">
        <w:rPr>
          <w:rFonts w:ascii="Inter" w:eastAsia="Times New Roman" w:hAnsi="Inter" w:cs="Times New Roman"/>
          <w:color w:val="25272D"/>
          <w:sz w:val="24"/>
          <w:szCs w:val="24"/>
        </w:rPr>
        <w:t>Предоставление займа на реализацию инвестиционных проектов</w:t>
      </w:r>
    </w:p>
    <w:p w:rsidR="008B0828" w:rsidRPr="008B0828" w:rsidRDefault="008B0828" w:rsidP="008B0828">
      <w:pPr>
        <w:shd w:val="clear" w:color="auto" w:fill="FFFFFF"/>
        <w:spacing w:after="150" w:line="480" w:lineRule="atLeast"/>
        <w:rPr>
          <w:rFonts w:ascii="Inter" w:eastAsia="Times New Roman" w:hAnsi="Inter" w:cs="Times New Roman"/>
          <w:b/>
          <w:bCs/>
          <w:color w:val="B93183"/>
          <w:sz w:val="36"/>
          <w:szCs w:val="36"/>
        </w:rPr>
      </w:pPr>
      <w:r w:rsidRPr="008B0828">
        <w:rPr>
          <w:rFonts w:ascii="Inter" w:eastAsia="Times New Roman" w:hAnsi="Inter" w:cs="Times New Roman"/>
          <w:b/>
          <w:bCs/>
          <w:caps/>
          <w:color w:val="1E2A5A"/>
          <w:sz w:val="21"/>
          <w:szCs w:val="21"/>
        </w:rPr>
        <w:t>Сумма займа</w:t>
      </w:r>
      <w:r>
        <w:rPr>
          <w:rFonts w:ascii="Inter" w:eastAsia="Times New Roman" w:hAnsi="Inter" w:cs="Times New Roman"/>
          <w:b/>
          <w:bCs/>
          <w:caps/>
          <w:color w:val="1E2A5A"/>
          <w:sz w:val="21"/>
          <w:szCs w:val="21"/>
        </w:rPr>
        <w:t xml:space="preserve">: </w:t>
      </w:r>
      <w:r w:rsidRPr="008B0828">
        <w:rPr>
          <w:rFonts w:ascii="Inter" w:eastAsia="Times New Roman" w:hAnsi="Inter" w:cs="Times New Roman"/>
          <w:b/>
          <w:bCs/>
          <w:color w:val="B93183"/>
          <w:sz w:val="36"/>
          <w:szCs w:val="36"/>
        </w:rPr>
        <w:t xml:space="preserve">20-200 </w:t>
      </w:r>
      <w:proofErr w:type="spellStart"/>
      <w:proofErr w:type="gramStart"/>
      <w:r w:rsidRPr="008B0828">
        <w:rPr>
          <w:rFonts w:ascii="Inter" w:eastAsia="Times New Roman" w:hAnsi="Inter" w:cs="Times New Roman"/>
          <w:b/>
          <w:bCs/>
          <w:color w:val="B93183"/>
          <w:sz w:val="36"/>
          <w:szCs w:val="36"/>
        </w:rPr>
        <w:t>млн</w:t>
      </w:r>
      <w:proofErr w:type="spellEnd"/>
      <w:proofErr w:type="gramEnd"/>
      <w:r w:rsidRPr="008B0828">
        <w:rPr>
          <w:rFonts w:ascii="Inter" w:eastAsia="Times New Roman" w:hAnsi="Inter" w:cs="Times New Roman"/>
          <w:b/>
          <w:bCs/>
          <w:color w:val="B93183"/>
          <w:sz w:val="36"/>
          <w:szCs w:val="36"/>
        </w:rPr>
        <w:t xml:space="preserve"> руб.</w:t>
      </w:r>
    </w:p>
    <w:p w:rsidR="008B0828" w:rsidRPr="008B0828" w:rsidRDefault="008B0828" w:rsidP="008B0828">
      <w:pPr>
        <w:shd w:val="clear" w:color="auto" w:fill="FFFFFF"/>
        <w:spacing w:after="150" w:line="480" w:lineRule="atLeast"/>
        <w:rPr>
          <w:rFonts w:ascii="Inter" w:eastAsia="Times New Roman" w:hAnsi="Inter" w:cs="Times New Roman"/>
          <w:b/>
          <w:bCs/>
          <w:color w:val="B93183"/>
          <w:sz w:val="36"/>
          <w:szCs w:val="36"/>
        </w:rPr>
      </w:pPr>
      <w:r w:rsidRPr="008B0828">
        <w:rPr>
          <w:rFonts w:ascii="Inter" w:eastAsia="Times New Roman" w:hAnsi="Inter" w:cs="Times New Roman"/>
          <w:b/>
          <w:bCs/>
          <w:caps/>
          <w:color w:val="1E2A5A"/>
          <w:sz w:val="21"/>
          <w:szCs w:val="21"/>
        </w:rPr>
        <w:t>Процентная ставка</w:t>
      </w:r>
      <w:r>
        <w:rPr>
          <w:rFonts w:ascii="Inter" w:eastAsia="Times New Roman" w:hAnsi="Inter" w:cs="Times New Roman"/>
          <w:b/>
          <w:bCs/>
          <w:caps/>
          <w:color w:val="1E2A5A"/>
          <w:sz w:val="21"/>
          <w:szCs w:val="21"/>
        </w:rPr>
        <w:t>: -</w:t>
      </w:r>
      <w:r w:rsidRPr="008B0828">
        <w:rPr>
          <w:rFonts w:ascii="Inter" w:eastAsia="Times New Roman" w:hAnsi="Inter" w:cs="Times New Roman"/>
          <w:b/>
          <w:bCs/>
          <w:color w:val="B93183"/>
          <w:sz w:val="36"/>
          <w:szCs w:val="36"/>
        </w:rPr>
        <w:t>5% годовых базовая ставка;</w:t>
      </w:r>
      <w:r w:rsidRPr="008B0828">
        <w:rPr>
          <w:rFonts w:ascii="Inter" w:eastAsia="Times New Roman" w:hAnsi="Inter" w:cs="Times New Roman"/>
          <w:b/>
          <w:bCs/>
          <w:color w:val="B93183"/>
          <w:sz w:val="36"/>
          <w:szCs w:val="36"/>
        </w:rPr>
        <w:br/>
      </w:r>
      <w:r>
        <w:rPr>
          <w:rFonts w:ascii="Inter" w:eastAsia="Times New Roman" w:hAnsi="Inter" w:cs="Times New Roman"/>
          <w:b/>
          <w:bCs/>
          <w:color w:val="B93183"/>
          <w:sz w:val="36"/>
          <w:szCs w:val="36"/>
        </w:rPr>
        <w:t>-</w:t>
      </w:r>
      <w:r w:rsidRPr="008B0828">
        <w:rPr>
          <w:rFonts w:ascii="Inter" w:eastAsia="Times New Roman" w:hAnsi="Inter" w:cs="Times New Roman"/>
          <w:b/>
          <w:bCs/>
          <w:color w:val="B93183"/>
          <w:sz w:val="36"/>
          <w:szCs w:val="36"/>
        </w:rPr>
        <w:t>3% годовых на весь срок займа при банковской гарантии, а также гарантии ВЭБ</w:t>
      </w:r>
      <w:proofErr w:type="gramStart"/>
      <w:r w:rsidRPr="008B0828">
        <w:rPr>
          <w:rFonts w:ascii="Inter" w:eastAsia="Times New Roman" w:hAnsi="Inter" w:cs="Times New Roman"/>
          <w:b/>
          <w:bCs/>
          <w:color w:val="B93183"/>
          <w:sz w:val="36"/>
          <w:szCs w:val="36"/>
        </w:rPr>
        <w:t>.Р</w:t>
      </w:r>
      <w:proofErr w:type="gramEnd"/>
      <w:r w:rsidRPr="008B0828">
        <w:rPr>
          <w:rFonts w:ascii="Inter" w:eastAsia="Times New Roman" w:hAnsi="Inter" w:cs="Times New Roman"/>
          <w:b/>
          <w:bCs/>
          <w:color w:val="B93183"/>
          <w:sz w:val="36"/>
          <w:szCs w:val="36"/>
        </w:rPr>
        <w:t>Ф, Корпорации МСП или РГО;</w:t>
      </w:r>
      <w:r w:rsidRPr="008B0828">
        <w:rPr>
          <w:rFonts w:ascii="Inter" w:eastAsia="Times New Roman" w:hAnsi="Inter" w:cs="Times New Roman"/>
          <w:b/>
          <w:bCs/>
          <w:color w:val="B93183"/>
          <w:sz w:val="36"/>
          <w:szCs w:val="36"/>
        </w:rPr>
        <w:br/>
      </w:r>
      <w:r>
        <w:rPr>
          <w:rFonts w:ascii="Inter" w:eastAsia="Times New Roman" w:hAnsi="Inter" w:cs="Times New Roman"/>
          <w:b/>
          <w:bCs/>
          <w:color w:val="B93183"/>
          <w:sz w:val="36"/>
          <w:szCs w:val="36"/>
        </w:rPr>
        <w:t>-</w:t>
      </w:r>
      <w:r w:rsidRPr="008B0828">
        <w:rPr>
          <w:rFonts w:ascii="Inter" w:eastAsia="Times New Roman" w:hAnsi="Inter" w:cs="Times New Roman"/>
          <w:b/>
          <w:bCs/>
          <w:color w:val="B93183"/>
          <w:sz w:val="36"/>
          <w:szCs w:val="36"/>
        </w:rPr>
        <w:t>7% годовых если достигнутый Заявителем целевой показатель роста производительности труда за третий год участия в Национальном проекте составил менее 30% по отношению к базовому году.</w:t>
      </w:r>
    </w:p>
    <w:p w:rsidR="008B0828" w:rsidRPr="008B0828" w:rsidRDefault="008B0828" w:rsidP="008B0828">
      <w:pPr>
        <w:shd w:val="clear" w:color="auto" w:fill="FFFFFF"/>
        <w:spacing w:after="150" w:line="480" w:lineRule="atLeast"/>
        <w:rPr>
          <w:rFonts w:ascii="Inter" w:eastAsia="Times New Roman" w:hAnsi="Inter" w:cs="Times New Roman"/>
          <w:b/>
          <w:bCs/>
          <w:color w:val="B93183"/>
          <w:sz w:val="36"/>
          <w:szCs w:val="36"/>
        </w:rPr>
      </w:pPr>
      <w:r w:rsidRPr="008B0828">
        <w:rPr>
          <w:rFonts w:ascii="Inter" w:eastAsia="Times New Roman" w:hAnsi="Inter" w:cs="Times New Roman"/>
          <w:b/>
          <w:bCs/>
          <w:caps/>
          <w:color w:val="1E2A5A"/>
          <w:sz w:val="21"/>
          <w:szCs w:val="21"/>
        </w:rPr>
        <w:t>Срок займа</w:t>
      </w:r>
      <w:r>
        <w:rPr>
          <w:rFonts w:ascii="Inter" w:eastAsia="Times New Roman" w:hAnsi="Inter" w:cs="Times New Roman"/>
          <w:b/>
          <w:bCs/>
          <w:caps/>
          <w:color w:val="1E2A5A"/>
          <w:sz w:val="21"/>
          <w:szCs w:val="21"/>
        </w:rPr>
        <w:t xml:space="preserve">: </w:t>
      </w:r>
      <w:r w:rsidRPr="008B0828">
        <w:rPr>
          <w:rFonts w:ascii="Inter" w:eastAsia="Times New Roman" w:hAnsi="Inter" w:cs="Times New Roman"/>
          <w:b/>
          <w:bCs/>
          <w:color w:val="B93183"/>
          <w:sz w:val="36"/>
          <w:szCs w:val="36"/>
        </w:rPr>
        <w:t>не более 5 лет</w:t>
      </w:r>
    </w:p>
    <w:p w:rsidR="008B0828" w:rsidRPr="008B0828" w:rsidRDefault="008B0828" w:rsidP="008B0828">
      <w:pPr>
        <w:shd w:val="clear" w:color="auto" w:fill="FFFFFF"/>
        <w:spacing w:line="480" w:lineRule="atLeast"/>
        <w:rPr>
          <w:rFonts w:ascii="Inter" w:eastAsia="Times New Roman" w:hAnsi="Inter" w:cs="Times New Roman"/>
          <w:b/>
          <w:bCs/>
          <w:color w:val="B93183"/>
          <w:sz w:val="36"/>
          <w:szCs w:val="36"/>
        </w:rPr>
      </w:pPr>
      <w:r w:rsidRPr="008B0828">
        <w:rPr>
          <w:rFonts w:ascii="Inter" w:eastAsia="Times New Roman" w:hAnsi="Inter" w:cs="Times New Roman"/>
          <w:b/>
          <w:bCs/>
          <w:caps/>
          <w:color w:val="1E2A5A"/>
          <w:sz w:val="21"/>
          <w:szCs w:val="21"/>
        </w:rPr>
        <w:t>Общий бюджет проекта</w:t>
      </w:r>
      <w:r>
        <w:rPr>
          <w:rFonts w:ascii="Inter" w:eastAsia="Times New Roman" w:hAnsi="Inter" w:cs="Times New Roman"/>
          <w:b/>
          <w:bCs/>
          <w:caps/>
          <w:color w:val="1E2A5A"/>
          <w:sz w:val="21"/>
          <w:szCs w:val="21"/>
        </w:rPr>
        <w:t xml:space="preserve">: </w:t>
      </w:r>
      <w:r w:rsidRPr="008B0828">
        <w:rPr>
          <w:rFonts w:ascii="Inter" w:eastAsia="Times New Roman" w:hAnsi="Inter" w:cs="Times New Roman"/>
          <w:b/>
          <w:bCs/>
          <w:color w:val="B93183"/>
          <w:sz w:val="36"/>
          <w:szCs w:val="36"/>
        </w:rPr>
        <w:t xml:space="preserve">от 25 </w:t>
      </w:r>
      <w:proofErr w:type="spellStart"/>
      <w:proofErr w:type="gramStart"/>
      <w:r w:rsidRPr="008B0828">
        <w:rPr>
          <w:rFonts w:ascii="Inter" w:eastAsia="Times New Roman" w:hAnsi="Inter" w:cs="Times New Roman"/>
          <w:b/>
          <w:bCs/>
          <w:color w:val="B93183"/>
          <w:sz w:val="36"/>
          <w:szCs w:val="36"/>
        </w:rPr>
        <w:t>млн</w:t>
      </w:r>
      <w:proofErr w:type="spellEnd"/>
      <w:proofErr w:type="gramEnd"/>
      <w:r w:rsidRPr="008B0828">
        <w:rPr>
          <w:rFonts w:ascii="Inter" w:eastAsia="Times New Roman" w:hAnsi="Inter" w:cs="Times New Roman"/>
          <w:b/>
          <w:bCs/>
          <w:color w:val="B93183"/>
          <w:sz w:val="36"/>
          <w:szCs w:val="36"/>
        </w:rPr>
        <w:t xml:space="preserve"> руб.</w:t>
      </w:r>
    </w:p>
    <w:p w:rsidR="008B0828" w:rsidRDefault="008B0828" w:rsidP="008B0828">
      <w:pPr>
        <w:spacing w:after="0" w:line="240" w:lineRule="auto"/>
        <w:jc w:val="both"/>
        <w:rPr>
          <w:rFonts w:ascii="Inter" w:eastAsia="Times New Roman" w:hAnsi="Inter" w:cs="Times New Roman"/>
          <w:b/>
          <w:bCs/>
          <w:color w:val="25272D"/>
          <w:sz w:val="27"/>
          <w:szCs w:val="27"/>
        </w:rPr>
      </w:pPr>
      <w:r w:rsidRPr="008B0828">
        <w:rPr>
          <w:rFonts w:ascii="Inter" w:eastAsia="Times New Roman" w:hAnsi="Inter" w:cs="Times New Roman"/>
          <w:b/>
          <w:bCs/>
          <w:color w:val="25272D"/>
          <w:sz w:val="27"/>
          <w:szCs w:val="27"/>
        </w:rPr>
        <w:t>Условия финансирования:</w:t>
      </w:r>
    </w:p>
    <w:p w:rsidR="008B0828" w:rsidRDefault="008B0828" w:rsidP="008B0828">
      <w:pPr>
        <w:spacing w:after="0" w:line="240" w:lineRule="auto"/>
        <w:jc w:val="both"/>
        <w:rPr>
          <w:rFonts w:ascii="Inter" w:eastAsia="Times New Roman" w:hAnsi="Inter" w:cs="Times New Roman"/>
          <w:color w:val="25272D"/>
          <w:sz w:val="27"/>
          <w:szCs w:val="27"/>
        </w:rPr>
      </w:pPr>
      <w:proofErr w:type="gramStart"/>
      <w:r w:rsidRPr="008B0828">
        <w:rPr>
          <w:rFonts w:ascii="Inter" w:eastAsia="Times New Roman" w:hAnsi="Inter" w:cs="Times New Roman"/>
          <w:color w:val="25272D"/>
          <w:sz w:val="27"/>
          <w:szCs w:val="27"/>
        </w:rPr>
        <w:t>- средства займа могут быть использованы на модернизацию действующего производства или модификацию  продуктовой  линейки на предприятиях обрабатывающей  промышленности (за исключением пищевой) и не могут быть направлены на создание производств или выпуск новой для предприятия продукции;</w:t>
      </w:r>
      <w:r w:rsidRPr="008B0828">
        <w:rPr>
          <w:rFonts w:ascii="Inter" w:eastAsia="Times New Roman" w:hAnsi="Inter" w:cs="Times New Roman"/>
          <w:color w:val="25272D"/>
          <w:sz w:val="27"/>
          <w:szCs w:val="27"/>
        </w:rPr>
        <w:br/>
        <w:t>- заявителю необходимо быть участником региональной программы повышения производительности труда;</w:t>
      </w:r>
      <w:proofErr w:type="gramEnd"/>
      <w:r w:rsidRPr="008B0828">
        <w:rPr>
          <w:rFonts w:ascii="Inter" w:eastAsia="Times New Roman" w:hAnsi="Inter" w:cs="Times New Roman"/>
          <w:color w:val="25272D"/>
          <w:sz w:val="27"/>
          <w:szCs w:val="27"/>
        </w:rPr>
        <w:t>  </w:t>
      </w:r>
      <w:r w:rsidRPr="008B0828">
        <w:rPr>
          <w:rFonts w:ascii="Inter" w:eastAsia="Times New Roman" w:hAnsi="Inter" w:cs="Times New Roman"/>
          <w:color w:val="25272D"/>
          <w:sz w:val="27"/>
          <w:szCs w:val="27"/>
        </w:rPr>
        <w:br/>
        <w:t>- получить сертификат АНО «Федеральный центр компетенций в сфере производительности труда», о наличии у компании ключевых элементов производственной системы и достаточном уровне использования внутренних ресурсов повышения производительности;</w:t>
      </w:r>
      <w:r w:rsidRPr="008B0828">
        <w:rPr>
          <w:rFonts w:ascii="Inter" w:eastAsia="Times New Roman" w:hAnsi="Inter" w:cs="Times New Roman"/>
          <w:color w:val="25272D"/>
          <w:sz w:val="27"/>
          <w:szCs w:val="27"/>
        </w:rPr>
        <w:br/>
        <w:t>или </w:t>
      </w:r>
      <w:r w:rsidRPr="008B0828">
        <w:rPr>
          <w:rFonts w:ascii="Inter" w:eastAsia="Times New Roman" w:hAnsi="Inter" w:cs="Times New Roman"/>
          <w:color w:val="25272D"/>
          <w:sz w:val="27"/>
          <w:szCs w:val="27"/>
        </w:rPr>
        <w:br/>
        <w:t>- получить протокол по созданию производственного потока-образца по итогам работы с ФЦК или РЦК.</w:t>
      </w:r>
    </w:p>
    <w:p w:rsidR="008B0828" w:rsidRDefault="008B0828" w:rsidP="008B0828">
      <w:pPr>
        <w:spacing w:after="0" w:line="240" w:lineRule="auto"/>
        <w:jc w:val="both"/>
        <w:rPr>
          <w:rFonts w:ascii="Inter" w:eastAsia="Times New Roman" w:hAnsi="Inter" w:cs="Times New Roman"/>
          <w:b/>
          <w:bCs/>
          <w:color w:val="25272D"/>
          <w:sz w:val="27"/>
          <w:szCs w:val="27"/>
        </w:rPr>
      </w:pPr>
    </w:p>
    <w:p w:rsidR="008B0828" w:rsidRDefault="008B0828" w:rsidP="008B0828">
      <w:pPr>
        <w:spacing w:after="0" w:line="240" w:lineRule="auto"/>
        <w:jc w:val="both"/>
        <w:rPr>
          <w:rFonts w:ascii="Inter" w:eastAsia="Times New Roman" w:hAnsi="Inter" w:cs="Times New Roman"/>
          <w:color w:val="25272D"/>
          <w:sz w:val="27"/>
          <w:szCs w:val="27"/>
        </w:rPr>
      </w:pPr>
      <w:r w:rsidRPr="008B0828">
        <w:rPr>
          <w:rFonts w:ascii="Inter" w:eastAsia="Times New Roman" w:hAnsi="Inter" w:cs="Times New Roman"/>
          <w:b/>
          <w:bCs/>
          <w:color w:val="25272D"/>
          <w:sz w:val="27"/>
          <w:szCs w:val="27"/>
        </w:rPr>
        <w:t>Целевой показатель</w:t>
      </w:r>
      <w:r w:rsidRPr="008B0828">
        <w:rPr>
          <w:rFonts w:ascii="Inter" w:eastAsia="Times New Roman" w:hAnsi="Inter" w:cs="Times New Roman"/>
          <w:color w:val="25272D"/>
          <w:sz w:val="27"/>
          <w:szCs w:val="27"/>
        </w:rPr>
        <w:t> прироста производительности труда по отношению к базовому году должен составлять не менее чем 10%, 15% и 30% по результатам первого, второго и третьего годов соответственно участия предприятия в Нацпроекте, далее приро</w:t>
      </w:r>
      <w:proofErr w:type="gramStart"/>
      <w:r w:rsidRPr="008B0828">
        <w:rPr>
          <w:rFonts w:ascii="Inter" w:eastAsia="Times New Roman" w:hAnsi="Inter" w:cs="Times New Roman"/>
          <w:color w:val="25272D"/>
          <w:sz w:val="27"/>
          <w:szCs w:val="27"/>
        </w:rPr>
        <w:t>ст к пр</w:t>
      </w:r>
      <w:proofErr w:type="gramEnd"/>
      <w:r w:rsidRPr="008B0828">
        <w:rPr>
          <w:rFonts w:ascii="Inter" w:eastAsia="Times New Roman" w:hAnsi="Inter" w:cs="Times New Roman"/>
          <w:color w:val="25272D"/>
          <w:sz w:val="27"/>
          <w:szCs w:val="27"/>
        </w:rPr>
        <w:t>едыдущему году должен составлять не менее 5%.</w:t>
      </w:r>
    </w:p>
    <w:p w:rsidR="008B0828" w:rsidRDefault="008B0828" w:rsidP="008B0828">
      <w:pPr>
        <w:spacing w:after="0" w:line="240" w:lineRule="auto"/>
        <w:jc w:val="both"/>
        <w:rPr>
          <w:rFonts w:ascii="Inter" w:eastAsia="Times New Roman" w:hAnsi="Inter" w:cs="Times New Roman"/>
          <w:b/>
          <w:bCs/>
          <w:color w:val="25272D"/>
          <w:sz w:val="27"/>
          <w:szCs w:val="27"/>
        </w:rPr>
      </w:pPr>
    </w:p>
    <w:p w:rsidR="008B0828" w:rsidRPr="008B0828" w:rsidRDefault="008B0828" w:rsidP="008B0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828">
        <w:rPr>
          <w:rFonts w:ascii="Inter" w:eastAsia="Times New Roman" w:hAnsi="Inter" w:cs="Times New Roman"/>
          <w:b/>
          <w:bCs/>
          <w:color w:val="25272D"/>
          <w:sz w:val="27"/>
          <w:szCs w:val="27"/>
        </w:rPr>
        <w:t>Продукция в рамках проекта должна соответствовать одному или нескольким из следующих параметров:</w:t>
      </w:r>
    </w:p>
    <w:p w:rsidR="008B0828" w:rsidRDefault="008B0828" w:rsidP="008B0828">
      <w:pPr>
        <w:spacing w:after="0" w:line="240" w:lineRule="auto"/>
        <w:jc w:val="both"/>
        <w:rPr>
          <w:rFonts w:ascii="Inter" w:eastAsia="Times New Roman" w:hAnsi="Inter" w:cs="Times New Roman"/>
          <w:color w:val="25272D"/>
          <w:sz w:val="27"/>
          <w:szCs w:val="27"/>
        </w:rPr>
      </w:pPr>
      <w:proofErr w:type="gramStart"/>
      <w:r w:rsidRPr="008B0828">
        <w:rPr>
          <w:rFonts w:ascii="Inter" w:eastAsia="Times New Roman" w:hAnsi="Inter" w:cs="Times New Roman"/>
          <w:color w:val="25272D"/>
          <w:sz w:val="27"/>
          <w:szCs w:val="27"/>
        </w:rPr>
        <w:lastRenderedPageBreak/>
        <w:t>· выпускаемая продукция относится к комплектующим изделиям, применяемым в составе промышленной продукции, перечисленной в приложении к постановлению Правительства Российской Федерации от 17 июля 2015 г. № 719 «О подтверждении производства промышленной продукции на территории Российской Федерации»;</w:t>
      </w:r>
      <w:r w:rsidRPr="008B0828">
        <w:rPr>
          <w:rFonts w:ascii="Inter" w:eastAsia="Times New Roman" w:hAnsi="Inter" w:cs="Times New Roman"/>
          <w:color w:val="25272D"/>
          <w:sz w:val="27"/>
          <w:szCs w:val="27"/>
        </w:rPr>
        <w:br/>
        <w:t>· выпускаемая продукция относится к критически важной для устойчивого функционирования промышленных предприятий продукции, перечисленной в формируемом Межведомственной комиссией Перечне комплектующих изделий, необходимых для отраслей промышленности;</w:t>
      </w:r>
      <w:proofErr w:type="gramEnd"/>
      <w:r w:rsidRPr="008B0828">
        <w:rPr>
          <w:rFonts w:ascii="Inter" w:eastAsia="Times New Roman" w:hAnsi="Inter" w:cs="Times New Roman"/>
          <w:color w:val="25272D"/>
          <w:sz w:val="27"/>
          <w:szCs w:val="27"/>
        </w:rPr>
        <w:br/>
        <w:t>· сбыт выпускаемой продукции направлен на замещение импорта на внутреннем рынке, что подтверждается отнесением выпускаемой продукции к категории импортозамещающей согласно отраслевым планам, утверждаемым федеральным органом исполнительной власти, уполномоченным Правительством Российской Федерации, локализацию компонентов и суверенизацию техники;</w:t>
      </w:r>
      <w:r w:rsidRPr="008B0828">
        <w:rPr>
          <w:rFonts w:ascii="Inter" w:eastAsia="Times New Roman" w:hAnsi="Inter" w:cs="Times New Roman"/>
          <w:color w:val="25272D"/>
          <w:sz w:val="27"/>
          <w:szCs w:val="27"/>
        </w:rPr>
        <w:br/>
        <w:t>· выпускаемая продукция относится к категории высокотехнологичной.</w:t>
      </w:r>
    </w:p>
    <w:p w:rsidR="008B0828" w:rsidRDefault="008B0828" w:rsidP="008B0828">
      <w:pPr>
        <w:spacing w:after="0" w:line="240" w:lineRule="auto"/>
        <w:jc w:val="both"/>
        <w:rPr>
          <w:rFonts w:ascii="Inter" w:eastAsia="Times New Roman" w:hAnsi="Inter" w:cs="Times New Roman"/>
          <w:b/>
          <w:bCs/>
          <w:color w:val="25272D"/>
          <w:sz w:val="27"/>
          <w:szCs w:val="27"/>
        </w:rPr>
      </w:pPr>
    </w:p>
    <w:p w:rsidR="008B0828" w:rsidRDefault="008B0828" w:rsidP="008B0828">
      <w:pPr>
        <w:spacing w:after="0" w:line="240" w:lineRule="auto"/>
        <w:jc w:val="both"/>
        <w:rPr>
          <w:rFonts w:ascii="Inter" w:eastAsia="Times New Roman" w:hAnsi="Inter" w:cs="Times New Roman"/>
          <w:b/>
          <w:bCs/>
          <w:color w:val="25272D"/>
          <w:sz w:val="27"/>
          <w:szCs w:val="27"/>
        </w:rPr>
      </w:pPr>
      <w:proofErr w:type="spellStart"/>
      <w:r w:rsidRPr="008B0828">
        <w:rPr>
          <w:rFonts w:ascii="Inter" w:eastAsia="Times New Roman" w:hAnsi="Inter" w:cs="Times New Roman"/>
          <w:b/>
          <w:bCs/>
          <w:color w:val="25272D"/>
          <w:sz w:val="27"/>
          <w:szCs w:val="27"/>
        </w:rPr>
        <w:t>Софинансирование</w:t>
      </w:r>
      <w:proofErr w:type="spellEnd"/>
      <w:r w:rsidRPr="008B0828">
        <w:rPr>
          <w:rFonts w:ascii="Inter" w:eastAsia="Times New Roman" w:hAnsi="Inter" w:cs="Times New Roman"/>
          <w:b/>
          <w:bCs/>
          <w:color w:val="25272D"/>
          <w:sz w:val="27"/>
          <w:szCs w:val="27"/>
        </w:rPr>
        <w:t xml:space="preserve"> со стороны заявителя, частных инвесторов или за счет банковских кредитов:</w:t>
      </w:r>
    </w:p>
    <w:p w:rsidR="008B0828" w:rsidRDefault="008B0828" w:rsidP="008B0828">
      <w:pPr>
        <w:spacing w:after="0" w:line="240" w:lineRule="auto"/>
        <w:jc w:val="both"/>
        <w:rPr>
          <w:rFonts w:ascii="Inter" w:eastAsia="Times New Roman" w:hAnsi="Inter" w:cs="Times New Roman"/>
          <w:color w:val="25272D"/>
          <w:sz w:val="27"/>
          <w:szCs w:val="27"/>
        </w:rPr>
      </w:pPr>
      <w:r w:rsidRPr="008B0828">
        <w:rPr>
          <w:rFonts w:ascii="Inter" w:eastAsia="Times New Roman" w:hAnsi="Inter" w:cs="Times New Roman"/>
          <w:color w:val="25272D"/>
          <w:sz w:val="27"/>
          <w:szCs w:val="27"/>
        </w:rPr>
        <w:t>≥ 20% бюджета проекта</w:t>
      </w:r>
    </w:p>
    <w:p w:rsidR="008B0828" w:rsidRDefault="008B0828" w:rsidP="008B0828">
      <w:pPr>
        <w:spacing w:after="0" w:line="240" w:lineRule="auto"/>
        <w:jc w:val="both"/>
        <w:rPr>
          <w:rFonts w:ascii="Inter" w:eastAsia="Times New Roman" w:hAnsi="Inter" w:cs="Times New Roman"/>
          <w:color w:val="25272D"/>
          <w:sz w:val="27"/>
          <w:szCs w:val="27"/>
        </w:rPr>
      </w:pPr>
    </w:p>
    <w:p w:rsidR="008B0828" w:rsidRDefault="008B0828" w:rsidP="008B0828">
      <w:pPr>
        <w:spacing w:after="0" w:line="240" w:lineRule="auto"/>
        <w:jc w:val="both"/>
        <w:rPr>
          <w:rFonts w:ascii="Inter" w:eastAsia="Times New Roman" w:hAnsi="Inter" w:cs="Times New Roman"/>
          <w:color w:val="25272D"/>
          <w:sz w:val="27"/>
          <w:szCs w:val="27"/>
        </w:rPr>
      </w:pPr>
      <w:r w:rsidRPr="008B0828">
        <w:rPr>
          <w:rFonts w:ascii="Inter" w:eastAsia="Times New Roman" w:hAnsi="Inter" w:cs="Times New Roman"/>
          <w:b/>
          <w:bCs/>
          <w:color w:val="25272D"/>
          <w:sz w:val="27"/>
          <w:szCs w:val="27"/>
        </w:rPr>
        <w:t>Средства, полученные для финансирования проекта, могут быть направлены на реализацию следующих мероприятий:</w:t>
      </w:r>
      <w:r w:rsidRPr="008B0828">
        <w:rPr>
          <w:rFonts w:ascii="Inter" w:eastAsia="Times New Roman" w:hAnsi="Inter" w:cs="Times New Roman"/>
          <w:b/>
          <w:bCs/>
          <w:color w:val="25272D"/>
          <w:sz w:val="27"/>
          <w:szCs w:val="27"/>
        </w:rPr>
        <w:br/>
      </w:r>
      <w:r w:rsidRPr="008B0828">
        <w:rPr>
          <w:rFonts w:ascii="Inter" w:eastAsia="Times New Roman" w:hAnsi="Inter" w:cs="Times New Roman"/>
          <w:color w:val="25272D"/>
          <w:sz w:val="27"/>
          <w:szCs w:val="27"/>
        </w:rPr>
        <w:br/>
        <w:t>1. Разработка/</w:t>
      </w:r>
      <w:proofErr w:type="spellStart"/>
      <w:r w:rsidRPr="008B0828">
        <w:rPr>
          <w:rFonts w:ascii="Inter" w:eastAsia="Times New Roman" w:hAnsi="Inter" w:cs="Times New Roman"/>
          <w:color w:val="25272D"/>
          <w:sz w:val="27"/>
          <w:szCs w:val="27"/>
        </w:rPr>
        <w:t>трансфер</w:t>
      </w:r>
      <w:proofErr w:type="spellEnd"/>
      <w:r w:rsidRPr="008B0828">
        <w:rPr>
          <w:rFonts w:ascii="Inter" w:eastAsia="Times New Roman" w:hAnsi="Inter" w:cs="Times New Roman"/>
          <w:color w:val="25272D"/>
          <w:sz w:val="27"/>
          <w:szCs w:val="27"/>
        </w:rPr>
        <w:t xml:space="preserve"> технологии (в том числе приобретение расходных материалов для проведения мероприятий, включая сырье и ресурсы для испытания оборудования и технологии – в о</w:t>
      </w:r>
      <w:r>
        <w:rPr>
          <w:rFonts w:ascii="Inter" w:eastAsia="Times New Roman" w:hAnsi="Inter" w:cs="Times New Roman"/>
          <w:color w:val="25272D"/>
          <w:sz w:val="27"/>
          <w:szCs w:val="27"/>
        </w:rPr>
        <w:t>бъеме до 20 % от суммы займа). </w:t>
      </w:r>
    </w:p>
    <w:p w:rsidR="008B0828" w:rsidRDefault="008B0828" w:rsidP="008B0828">
      <w:pPr>
        <w:spacing w:after="0" w:line="240" w:lineRule="auto"/>
        <w:jc w:val="both"/>
        <w:rPr>
          <w:rFonts w:ascii="Inter" w:eastAsia="Times New Roman" w:hAnsi="Inter" w:cs="Times New Roman"/>
          <w:color w:val="25272D"/>
          <w:sz w:val="27"/>
          <w:szCs w:val="27"/>
        </w:rPr>
      </w:pPr>
    </w:p>
    <w:p w:rsidR="008B0828" w:rsidRDefault="008B0828" w:rsidP="008B0828">
      <w:pPr>
        <w:spacing w:after="0" w:line="240" w:lineRule="auto"/>
        <w:jc w:val="both"/>
        <w:rPr>
          <w:rFonts w:ascii="Inter" w:eastAsia="Times New Roman" w:hAnsi="Inter" w:cs="Times New Roman"/>
          <w:color w:val="25272D"/>
          <w:sz w:val="27"/>
          <w:szCs w:val="27"/>
        </w:rPr>
      </w:pPr>
      <w:r w:rsidRPr="008B0828">
        <w:rPr>
          <w:rFonts w:ascii="Inter" w:eastAsia="Times New Roman" w:hAnsi="Inter" w:cs="Times New Roman"/>
          <w:color w:val="25272D"/>
          <w:sz w:val="27"/>
          <w:szCs w:val="27"/>
        </w:rPr>
        <w:t>2. Инжиниринг.</w:t>
      </w:r>
    </w:p>
    <w:p w:rsidR="008B0828" w:rsidRDefault="008B0828" w:rsidP="008B0828">
      <w:pPr>
        <w:spacing w:after="0" w:line="240" w:lineRule="auto"/>
        <w:jc w:val="both"/>
        <w:rPr>
          <w:rFonts w:ascii="Inter" w:eastAsia="Times New Roman" w:hAnsi="Inter" w:cs="Times New Roman"/>
          <w:color w:val="25272D"/>
          <w:sz w:val="27"/>
          <w:szCs w:val="27"/>
        </w:rPr>
      </w:pPr>
      <w:r w:rsidRPr="008B0828">
        <w:rPr>
          <w:rFonts w:ascii="Inter" w:eastAsia="Times New Roman" w:hAnsi="Inter" w:cs="Times New Roman"/>
          <w:color w:val="25272D"/>
          <w:sz w:val="27"/>
          <w:szCs w:val="27"/>
        </w:rPr>
        <w:br/>
        <w:t>3. Приобретение прав на результаты интеллектуальной деятельности (≤ 15% от суммы займа).</w:t>
      </w:r>
    </w:p>
    <w:p w:rsidR="008B0828" w:rsidRDefault="008B0828" w:rsidP="008B0828">
      <w:pPr>
        <w:spacing w:after="0" w:line="240" w:lineRule="auto"/>
        <w:jc w:val="both"/>
        <w:rPr>
          <w:rFonts w:ascii="Inter" w:eastAsia="Times New Roman" w:hAnsi="Inter" w:cs="Times New Roman"/>
          <w:color w:val="25272D"/>
          <w:sz w:val="27"/>
          <w:szCs w:val="27"/>
        </w:rPr>
      </w:pPr>
      <w:r w:rsidRPr="008B0828">
        <w:rPr>
          <w:rFonts w:ascii="Inter" w:eastAsia="Times New Roman" w:hAnsi="Inter" w:cs="Times New Roman"/>
          <w:color w:val="25272D"/>
          <w:sz w:val="27"/>
          <w:szCs w:val="27"/>
        </w:rPr>
        <w:br/>
        <w:t>4. Приобретение в собственность промышленного оборудования.</w:t>
      </w:r>
    </w:p>
    <w:p w:rsidR="008B0828" w:rsidRDefault="008B0828" w:rsidP="008B0828">
      <w:pPr>
        <w:spacing w:after="0" w:line="240" w:lineRule="auto"/>
        <w:jc w:val="both"/>
        <w:rPr>
          <w:rFonts w:ascii="Inter" w:eastAsia="Times New Roman" w:hAnsi="Inter" w:cs="Times New Roman"/>
          <w:color w:val="25272D"/>
          <w:sz w:val="27"/>
          <w:szCs w:val="27"/>
        </w:rPr>
      </w:pPr>
      <w:r w:rsidRPr="008B0828">
        <w:rPr>
          <w:rFonts w:ascii="Inter" w:eastAsia="Times New Roman" w:hAnsi="Inter" w:cs="Times New Roman"/>
          <w:color w:val="25272D"/>
          <w:sz w:val="27"/>
          <w:szCs w:val="27"/>
        </w:rPr>
        <w:br/>
        <w:t>5. Приобретение или использование специального оборудования для проведения ОКР и отработки технологии.</w:t>
      </w:r>
    </w:p>
    <w:p w:rsidR="008B0828" w:rsidRDefault="008B0828" w:rsidP="008B0828">
      <w:pPr>
        <w:spacing w:after="0" w:line="240" w:lineRule="auto"/>
        <w:jc w:val="both"/>
        <w:rPr>
          <w:rFonts w:ascii="Inter" w:eastAsia="Times New Roman" w:hAnsi="Inter" w:cs="Times New Roman"/>
          <w:color w:val="25272D"/>
          <w:sz w:val="27"/>
          <w:szCs w:val="27"/>
        </w:rPr>
      </w:pPr>
      <w:r w:rsidRPr="008B0828">
        <w:rPr>
          <w:rFonts w:ascii="Inter" w:eastAsia="Times New Roman" w:hAnsi="Inter" w:cs="Times New Roman"/>
          <w:color w:val="25272D"/>
          <w:sz w:val="27"/>
          <w:szCs w:val="27"/>
        </w:rPr>
        <w:br/>
        <w:t xml:space="preserve">6. Разработка технико-экономического обоснования, </w:t>
      </w:r>
      <w:proofErr w:type="spellStart"/>
      <w:r w:rsidRPr="008B0828">
        <w:rPr>
          <w:rFonts w:ascii="Inter" w:eastAsia="Times New Roman" w:hAnsi="Inter" w:cs="Times New Roman"/>
          <w:color w:val="25272D"/>
          <w:sz w:val="27"/>
          <w:szCs w:val="27"/>
        </w:rPr>
        <w:t>прединвестиционный</w:t>
      </w:r>
      <w:proofErr w:type="spellEnd"/>
      <w:r w:rsidRPr="008B0828">
        <w:rPr>
          <w:rFonts w:ascii="Inter" w:eastAsia="Times New Roman" w:hAnsi="Inter" w:cs="Times New Roman"/>
          <w:color w:val="25272D"/>
          <w:sz w:val="27"/>
          <w:szCs w:val="27"/>
        </w:rPr>
        <w:t xml:space="preserve"> анализ, не включая расходы на аналитические исследования рынка.</w:t>
      </w:r>
    </w:p>
    <w:p w:rsidR="00E86439" w:rsidRPr="008B0828" w:rsidRDefault="008B0828" w:rsidP="008B0828">
      <w:pPr>
        <w:spacing w:after="0" w:line="240" w:lineRule="auto"/>
        <w:jc w:val="both"/>
        <w:rPr>
          <w:rFonts w:ascii="Inter" w:eastAsia="Times New Roman" w:hAnsi="Inter" w:cs="Times New Roman"/>
          <w:color w:val="25272D"/>
          <w:sz w:val="27"/>
          <w:szCs w:val="27"/>
        </w:rPr>
      </w:pPr>
      <w:r w:rsidRPr="008B0828">
        <w:rPr>
          <w:rFonts w:ascii="Inter" w:eastAsia="Times New Roman" w:hAnsi="Inter" w:cs="Times New Roman"/>
          <w:color w:val="25272D"/>
          <w:sz w:val="27"/>
          <w:szCs w:val="27"/>
        </w:rPr>
        <w:br/>
        <w:t>7. Общехозяйственные расходы (≤ 10% от суммы займа).</w:t>
      </w:r>
      <w:r w:rsidRPr="008B0828">
        <w:rPr>
          <w:rFonts w:ascii="Inter" w:eastAsia="Times New Roman" w:hAnsi="Inter" w:cs="Times New Roman"/>
          <w:color w:val="25272D"/>
          <w:sz w:val="27"/>
          <w:szCs w:val="27"/>
        </w:rPr>
        <w:br/>
        <w:t>     </w:t>
      </w:r>
    </w:p>
    <w:sectPr w:rsidR="00E86439" w:rsidRPr="008B0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0828"/>
    <w:rsid w:val="008B0828"/>
    <w:rsid w:val="00E86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8831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688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256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9649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0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2356-00258</dc:creator>
  <cp:keywords/>
  <dc:description/>
  <cp:lastModifiedBy>2356-00258</cp:lastModifiedBy>
  <cp:revision>2</cp:revision>
  <dcterms:created xsi:type="dcterms:W3CDTF">2025-02-10T14:36:00Z</dcterms:created>
  <dcterms:modified xsi:type="dcterms:W3CDTF">2025-02-10T14:39:00Z</dcterms:modified>
</cp:coreProperties>
</file>